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emf" ContentType="image/x-emf"/>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D1B2F6">
      <w:pPr>
        <w:keepNext w:val="0"/>
        <w:keepLines w:val="0"/>
        <w:pageBreakBefore w:val="0"/>
        <w:widowControl w:val="0"/>
        <w:kinsoku/>
        <w:wordWrap/>
        <w:overflowPunct/>
        <w:topLinePunct w:val="0"/>
        <w:bidi w:val="0"/>
        <w:snapToGrid/>
        <w:spacing w:line="480" w:lineRule="auto"/>
        <w:ind w:firstLine="0" w:firstLineChars="0"/>
        <w:jc w:val="center"/>
        <w:textAlignment w:val="auto"/>
        <w:outlineLvl w:val="9"/>
        <w:rPr>
          <w:rFonts w:hint="eastAsia"/>
          <w:b/>
          <w:color w:val="auto"/>
          <w:sz w:val="44"/>
          <w:szCs w:val="44"/>
          <w:highlight w:val="none"/>
          <w:lang w:val="en-US" w:eastAsia="zh-CN"/>
        </w:rPr>
      </w:pPr>
      <w:bookmarkStart w:id="0" w:name="_Toc16715"/>
    </w:p>
    <w:p w14:paraId="311FD0D3">
      <w:pPr>
        <w:keepNext w:val="0"/>
        <w:keepLines w:val="0"/>
        <w:pageBreakBefore w:val="0"/>
        <w:widowControl w:val="0"/>
        <w:kinsoku/>
        <w:wordWrap/>
        <w:overflowPunct/>
        <w:topLinePunct w:val="0"/>
        <w:bidi w:val="0"/>
        <w:snapToGrid/>
        <w:spacing w:line="480" w:lineRule="auto"/>
        <w:ind w:firstLine="0" w:firstLineChars="0"/>
        <w:jc w:val="center"/>
        <w:textAlignment w:val="auto"/>
        <w:outlineLvl w:val="9"/>
        <w:rPr>
          <w:rFonts w:hint="eastAsia"/>
          <w:b/>
          <w:color w:val="auto"/>
          <w:sz w:val="44"/>
          <w:szCs w:val="44"/>
          <w:highlight w:val="none"/>
          <w:lang w:val="en-US" w:eastAsia="zh-CN"/>
        </w:rPr>
      </w:pPr>
    </w:p>
    <w:p w14:paraId="1FD126BA">
      <w:pPr>
        <w:pStyle w:val="32"/>
        <w:rPr>
          <w:rFonts w:hint="eastAsia"/>
          <w:lang w:val="en-US" w:eastAsia="zh-CN"/>
        </w:rPr>
      </w:pPr>
    </w:p>
    <w:p w14:paraId="77B6F32F">
      <w:pPr>
        <w:keepNext w:val="0"/>
        <w:keepLines w:val="0"/>
        <w:pageBreakBefore w:val="0"/>
        <w:widowControl w:val="0"/>
        <w:kinsoku/>
        <w:wordWrap/>
        <w:overflowPunct/>
        <w:topLinePunct w:val="0"/>
        <w:bidi w:val="0"/>
        <w:snapToGrid/>
        <w:spacing w:line="480" w:lineRule="auto"/>
        <w:ind w:firstLine="0" w:firstLineChars="0"/>
        <w:jc w:val="center"/>
        <w:textAlignment w:val="auto"/>
        <w:outlineLvl w:val="9"/>
        <w:rPr>
          <w:rFonts w:hint="eastAsia"/>
          <w:lang w:eastAsia="zh-CN"/>
        </w:rPr>
      </w:pPr>
      <w:r>
        <w:rPr>
          <w:rFonts w:hint="eastAsia"/>
          <w:b/>
          <w:color w:val="auto"/>
          <w:sz w:val="44"/>
          <w:szCs w:val="44"/>
          <w:highlight w:val="none"/>
          <w:lang w:val="en-US" w:eastAsia="zh-CN"/>
        </w:rPr>
        <w:t>安宁泰丰林化工</w:t>
      </w:r>
      <w:r>
        <w:rPr>
          <w:rFonts w:hint="eastAsia"/>
          <w:b/>
          <w:color w:val="auto"/>
          <w:sz w:val="44"/>
          <w:szCs w:val="44"/>
          <w:highlight w:val="none"/>
          <w:lang w:eastAsia="zh-CN"/>
        </w:rPr>
        <w:t>有限公司</w:t>
      </w:r>
      <w:bookmarkEnd w:id="0"/>
    </w:p>
    <w:p w14:paraId="16026169">
      <w:pPr>
        <w:keepNext w:val="0"/>
        <w:keepLines w:val="0"/>
        <w:pageBreakBefore w:val="0"/>
        <w:widowControl w:val="0"/>
        <w:kinsoku/>
        <w:wordWrap/>
        <w:overflowPunct/>
        <w:topLinePunct w:val="0"/>
        <w:bidi w:val="0"/>
        <w:snapToGrid/>
        <w:spacing w:line="480" w:lineRule="auto"/>
        <w:ind w:firstLine="0" w:firstLineChars="0"/>
        <w:jc w:val="center"/>
        <w:textAlignment w:val="auto"/>
        <w:outlineLvl w:val="9"/>
        <w:rPr>
          <w:rFonts w:hint="default" w:eastAsia="宋体" w:cs="仿宋_GB2312"/>
          <w:b/>
          <w:color w:val="auto"/>
          <w:sz w:val="52"/>
          <w:szCs w:val="52"/>
          <w:highlight w:val="none"/>
          <w:lang w:val="en-US" w:eastAsia="zh-CN"/>
        </w:rPr>
      </w:pPr>
      <w:bookmarkStart w:id="1" w:name="_Toc11523"/>
      <w:r>
        <w:rPr>
          <w:rFonts w:hint="eastAsia" w:cs="仿宋_GB2312"/>
          <w:b/>
          <w:color w:val="auto"/>
          <w:sz w:val="52"/>
          <w:szCs w:val="52"/>
          <w:highlight w:val="none"/>
        </w:rPr>
        <w:t>突发环境事件</w:t>
      </w:r>
      <w:r>
        <w:rPr>
          <w:rFonts w:hint="eastAsia" w:cs="仿宋_GB2312"/>
          <w:b/>
          <w:color w:val="auto"/>
          <w:sz w:val="52"/>
          <w:szCs w:val="52"/>
          <w:highlight w:val="none"/>
          <w:lang w:val="en-US" w:eastAsia="zh-CN"/>
        </w:rPr>
        <w:t>风险评估报告</w:t>
      </w:r>
      <w:bookmarkEnd w:id="1"/>
    </w:p>
    <w:p w14:paraId="6E0F4327">
      <w:pPr>
        <w:pStyle w:val="16"/>
        <w:keepNext w:val="0"/>
        <w:keepLines w:val="0"/>
        <w:pageBreakBefore w:val="0"/>
        <w:widowControl w:val="0"/>
        <w:kinsoku/>
        <w:wordWrap/>
        <w:overflowPunct/>
        <w:topLinePunct w:val="0"/>
        <w:bidi w:val="0"/>
        <w:snapToGrid/>
        <w:ind w:firstLine="0" w:firstLineChars="0"/>
        <w:jc w:val="center"/>
        <w:textAlignment w:val="auto"/>
        <w:rPr>
          <w:rFonts w:ascii="Times New Roman" w:hAnsi="Times New Roman"/>
          <w:b/>
          <w:color w:val="auto"/>
          <w:sz w:val="32"/>
          <w:szCs w:val="32"/>
          <w:highlight w:val="none"/>
        </w:rPr>
      </w:pPr>
      <w:r>
        <w:rPr>
          <w:rFonts w:hint="eastAsia" w:ascii="Times New Roman" w:hAnsi="Times New Roman"/>
          <w:b/>
          <w:color w:val="auto"/>
          <w:sz w:val="32"/>
          <w:szCs w:val="32"/>
          <w:highlight w:val="none"/>
        </w:rPr>
        <w:t>（</w:t>
      </w:r>
      <w:r>
        <w:rPr>
          <w:rFonts w:hint="eastAsia" w:ascii="Times New Roman" w:hAnsi="Times New Roman"/>
          <w:b/>
          <w:color w:val="auto"/>
          <w:sz w:val="32"/>
          <w:szCs w:val="32"/>
          <w:highlight w:val="none"/>
          <w:lang w:val="en-US" w:eastAsia="zh-CN"/>
        </w:rPr>
        <w:t>修编版</w:t>
      </w:r>
      <w:r>
        <w:rPr>
          <w:rFonts w:hint="eastAsia" w:ascii="Times New Roman" w:hAnsi="Times New Roman"/>
          <w:b/>
          <w:color w:val="auto"/>
          <w:sz w:val="32"/>
          <w:szCs w:val="32"/>
          <w:highlight w:val="none"/>
        </w:rPr>
        <w:t>）</w:t>
      </w:r>
    </w:p>
    <w:p w14:paraId="05FC82C1">
      <w:pPr>
        <w:ind w:firstLine="0" w:firstLineChars="0"/>
        <w:jc w:val="center"/>
        <w:rPr>
          <w:rFonts w:cs="仿宋_GB2312"/>
          <w:color w:val="auto"/>
          <w:sz w:val="52"/>
          <w:szCs w:val="52"/>
          <w:highlight w:val="none"/>
        </w:rPr>
      </w:pPr>
    </w:p>
    <w:p w14:paraId="35079C35">
      <w:pPr>
        <w:pStyle w:val="16"/>
        <w:rPr>
          <w:rFonts w:cs="仿宋_GB2312"/>
          <w:color w:val="auto"/>
          <w:sz w:val="52"/>
          <w:szCs w:val="52"/>
          <w:highlight w:val="none"/>
        </w:rPr>
      </w:pPr>
    </w:p>
    <w:p w14:paraId="7948B6A2">
      <w:pPr>
        <w:rPr>
          <w:rFonts w:hint="eastAsia" w:ascii="宋体" w:hAnsi="宋体" w:eastAsia="宋体" w:cs="宋体"/>
          <w:color w:val="000000"/>
          <w:sz w:val="21"/>
          <w:szCs w:val="21"/>
          <w:lang w:eastAsia="zh-CN"/>
        </w:rPr>
      </w:pPr>
    </w:p>
    <w:p w14:paraId="7ECE0C22">
      <w:pPr>
        <w:autoSpaceDE w:val="0"/>
        <w:autoSpaceDN w:val="0"/>
        <w:adjustRightInd w:val="0"/>
        <w:spacing w:line="360" w:lineRule="auto"/>
        <w:ind w:firstLine="2800" w:firstLineChars="1000"/>
        <w:jc w:val="both"/>
        <w:rPr>
          <w:rFonts w:hint="default"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版 本</w:t>
      </w:r>
      <w:r>
        <w:rPr>
          <w:rFonts w:hint="eastAsia" w:ascii="宋体" w:hAnsi="宋体" w:eastAsia="宋体" w:cs="宋体"/>
          <w:color w:val="000000"/>
          <w:sz w:val="28"/>
          <w:szCs w:val="28"/>
          <w:lang w:eastAsia="zh-CN"/>
        </w:rPr>
        <w:t>：</w:t>
      </w:r>
      <w:r>
        <w:rPr>
          <w:rFonts w:hint="eastAsia" w:ascii="宋体" w:hAnsi="宋体" w:cs="宋体"/>
          <w:color w:val="000000"/>
          <w:sz w:val="28"/>
          <w:szCs w:val="28"/>
          <w:lang w:val="en-US" w:eastAsia="zh-CN"/>
        </w:rPr>
        <w:t>AN-TFLHG-001</w:t>
      </w:r>
    </w:p>
    <w:p w14:paraId="59E3771E">
      <w:pPr>
        <w:autoSpaceDE w:val="0"/>
        <w:autoSpaceDN w:val="0"/>
        <w:adjustRightInd w:val="0"/>
        <w:spacing w:line="360" w:lineRule="auto"/>
        <w:jc w:val="center"/>
        <w:outlineLvl w:val="9"/>
        <w:rPr>
          <w:rFonts w:hint="default" w:ascii="宋体" w:hAnsi="宋体" w:eastAsia="宋体" w:cs="宋体"/>
          <w:color w:val="000000"/>
          <w:sz w:val="28"/>
          <w:szCs w:val="28"/>
          <w:lang w:val="en-US" w:eastAsia="zh-CN"/>
        </w:rPr>
      </w:pPr>
      <w:r>
        <w:rPr>
          <w:rFonts w:hint="eastAsia" w:ascii="宋体" w:hAnsi="宋体" w:eastAsia="宋体" w:cs="宋体"/>
          <w:color w:val="000000"/>
          <w:sz w:val="28"/>
          <w:szCs w:val="28"/>
          <w:lang w:val="en-US" w:eastAsia="zh-CN"/>
        </w:rPr>
        <w:t xml:space="preserve">  </w:t>
      </w:r>
      <w:bookmarkStart w:id="2" w:name="_Toc9068"/>
      <w:r>
        <w:rPr>
          <w:rFonts w:hint="eastAsia" w:ascii="宋体" w:hAnsi="宋体" w:eastAsia="宋体" w:cs="宋体"/>
          <w:color w:val="000000"/>
          <w:sz w:val="28"/>
          <w:szCs w:val="28"/>
          <w:lang w:val="en-US" w:eastAsia="zh-CN"/>
        </w:rPr>
        <w:t xml:space="preserve"> </w:t>
      </w:r>
      <w:r>
        <w:rPr>
          <w:rFonts w:hint="eastAsia" w:ascii="宋体" w:hAnsi="宋体" w:eastAsia="宋体" w:cs="宋体"/>
          <w:color w:val="000000" w:themeColor="text1"/>
          <w:sz w:val="28"/>
          <w:szCs w:val="28"/>
          <w:lang w:val="en-US" w:eastAsia="zh-CN"/>
          <w14:textFill>
            <w14:solidFill>
              <w14:schemeClr w14:val="tx1"/>
            </w14:solidFill>
          </w14:textFill>
        </w:rPr>
        <w:t xml:space="preserve"> </w:t>
      </w:r>
      <w:r>
        <w:rPr>
          <w:rFonts w:hint="eastAsia" w:ascii="宋体" w:hAnsi="宋体" w:eastAsia="宋体" w:cs="宋体"/>
          <w:color w:val="000000" w:themeColor="text1"/>
          <w:sz w:val="28"/>
          <w:szCs w:val="28"/>
          <w:lang w:eastAsia="zh-CN"/>
          <w14:textFill>
            <w14:solidFill>
              <w14:schemeClr w14:val="tx1"/>
            </w14:solidFill>
          </w14:textFill>
        </w:rPr>
        <w:t>编</w:t>
      </w:r>
      <w:r>
        <w:rPr>
          <w:rFonts w:hint="eastAsia" w:ascii="宋体" w:hAnsi="宋体" w:eastAsia="宋体" w:cs="宋体"/>
          <w:color w:val="000000" w:themeColor="text1"/>
          <w:sz w:val="28"/>
          <w:szCs w:val="28"/>
          <w:lang w:val="en-US" w:eastAsia="zh-CN"/>
          <w14:textFill>
            <w14:solidFill>
              <w14:schemeClr w14:val="tx1"/>
            </w14:solidFill>
          </w14:textFill>
        </w:rPr>
        <w:t xml:space="preserve"> </w:t>
      </w:r>
      <w:r>
        <w:rPr>
          <w:rFonts w:hint="eastAsia" w:ascii="宋体" w:hAnsi="宋体" w:eastAsia="宋体" w:cs="宋体"/>
          <w:color w:val="000000" w:themeColor="text1"/>
          <w:sz w:val="28"/>
          <w:szCs w:val="28"/>
          <w:lang w:eastAsia="zh-CN"/>
          <w14:textFill>
            <w14:solidFill>
              <w14:schemeClr w14:val="tx1"/>
            </w14:solidFill>
          </w14:textFill>
        </w:rPr>
        <w:t>制：</w:t>
      </w:r>
      <w:bookmarkEnd w:id="2"/>
      <w:r>
        <w:rPr>
          <w:rFonts w:hint="eastAsia" w:ascii="宋体" w:hAnsi="宋体" w:cs="宋体"/>
          <w:color w:val="000000" w:themeColor="text1"/>
          <w:sz w:val="28"/>
          <w:szCs w:val="28"/>
          <w:lang w:val="en-US" w:eastAsia="zh-CN"/>
          <w14:textFill>
            <w14:solidFill>
              <w14:schemeClr w14:val="tx1"/>
            </w14:solidFill>
          </w14:textFill>
        </w:rPr>
        <w:t>安宁泰丰林化工有限公司</w:t>
      </w:r>
    </w:p>
    <w:p w14:paraId="6912C8A2">
      <w:pPr>
        <w:autoSpaceDE w:val="0"/>
        <w:autoSpaceDN w:val="0"/>
        <w:adjustRightInd w:val="0"/>
        <w:spacing w:line="360" w:lineRule="auto"/>
        <w:ind w:firstLine="2800" w:firstLineChars="1000"/>
        <w:jc w:val="both"/>
        <w:rPr>
          <w:rFonts w:hint="eastAsia" w:ascii="宋体" w:hAnsi="宋体" w:eastAsia="宋体" w:cs="宋体"/>
          <w:color w:val="000000"/>
          <w:sz w:val="28"/>
          <w:szCs w:val="28"/>
          <w:lang w:eastAsia="zh-CN"/>
        </w:rPr>
      </w:pPr>
      <w:r>
        <w:rPr>
          <w:rFonts w:hint="eastAsia" w:ascii="宋体" w:hAnsi="宋体" w:eastAsia="宋体" w:cs="宋体"/>
          <w:color w:val="000000"/>
          <w:sz w:val="28"/>
          <w:szCs w:val="28"/>
          <w:lang w:eastAsia="zh-CN"/>
        </w:rPr>
        <w:t>审 核：</w:t>
      </w:r>
    </w:p>
    <w:p w14:paraId="3FF20B44">
      <w:pPr>
        <w:autoSpaceDE w:val="0"/>
        <w:autoSpaceDN w:val="0"/>
        <w:adjustRightInd w:val="0"/>
        <w:spacing w:line="360" w:lineRule="auto"/>
        <w:ind w:firstLine="2800" w:firstLineChars="1000"/>
        <w:jc w:val="both"/>
        <w:rPr>
          <w:rFonts w:hint="default" w:ascii="宋体" w:hAnsi="宋体" w:eastAsia="宋体" w:cs="宋体"/>
          <w:color w:val="000000"/>
          <w:sz w:val="28"/>
          <w:szCs w:val="28"/>
          <w:lang w:val="en-US" w:eastAsia="zh-CN"/>
        </w:rPr>
      </w:pPr>
      <w:r>
        <w:rPr>
          <w:rFonts w:hint="eastAsia" w:ascii="宋体" w:hAnsi="宋体" w:eastAsia="宋体" w:cs="宋体"/>
          <w:color w:val="000000"/>
          <w:sz w:val="28"/>
          <w:szCs w:val="28"/>
          <w:lang w:eastAsia="zh-CN"/>
        </w:rPr>
        <w:t>批 准：</w:t>
      </w:r>
    </w:p>
    <w:p w14:paraId="222D14D6">
      <w:pPr>
        <w:pStyle w:val="22"/>
        <w:rPr>
          <w:rFonts w:hint="eastAsia" w:ascii="宋体" w:hAnsi="宋体" w:cs="宋体"/>
          <w:color w:val="000000"/>
          <w:sz w:val="28"/>
          <w:szCs w:val="28"/>
          <w:lang w:eastAsia="zh-CN"/>
        </w:rPr>
      </w:pPr>
    </w:p>
    <w:p w14:paraId="049CA474">
      <w:pPr>
        <w:pStyle w:val="22"/>
        <w:rPr>
          <w:rFonts w:hint="eastAsia" w:ascii="宋体" w:hAnsi="宋体" w:cs="宋体"/>
          <w:color w:val="000000"/>
          <w:sz w:val="28"/>
          <w:szCs w:val="28"/>
          <w:lang w:eastAsia="zh-CN"/>
        </w:rPr>
      </w:pPr>
    </w:p>
    <w:p w14:paraId="0B21AD34">
      <w:pPr>
        <w:pStyle w:val="22"/>
        <w:rPr>
          <w:rFonts w:hint="eastAsia" w:ascii="宋体" w:hAnsi="宋体" w:cs="宋体"/>
          <w:color w:val="000000"/>
          <w:sz w:val="28"/>
          <w:szCs w:val="28"/>
          <w:lang w:eastAsia="zh-CN"/>
        </w:rPr>
      </w:pPr>
    </w:p>
    <w:p w14:paraId="48C3192D">
      <w:pPr>
        <w:pStyle w:val="22"/>
        <w:ind w:left="0" w:leftChars="0" w:firstLine="0" w:firstLineChars="0"/>
        <w:rPr>
          <w:rFonts w:hint="eastAsia" w:ascii="宋体" w:hAnsi="宋体" w:cs="宋体"/>
          <w:color w:val="000000"/>
          <w:sz w:val="28"/>
          <w:szCs w:val="28"/>
          <w:lang w:eastAsia="zh-CN"/>
        </w:rPr>
      </w:pPr>
    </w:p>
    <w:p w14:paraId="1DE8AEB9">
      <w:pPr>
        <w:pStyle w:val="22"/>
        <w:ind w:left="0" w:leftChars="0" w:firstLine="0" w:firstLineChars="0"/>
        <w:rPr>
          <w:rFonts w:hint="eastAsia" w:ascii="宋体" w:hAnsi="宋体" w:cs="宋体"/>
          <w:color w:val="000000"/>
          <w:sz w:val="28"/>
          <w:szCs w:val="28"/>
          <w:lang w:eastAsia="zh-CN"/>
        </w:rPr>
      </w:pPr>
    </w:p>
    <w:p w14:paraId="4127F9DB">
      <w:pPr>
        <w:rPr>
          <w:rFonts w:hint="eastAsia"/>
          <w:lang w:eastAsia="zh-CN"/>
        </w:rPr>
      </w:pPr>
    </w:p>
    <w:p w14:paraId="0FCDE417">
      <w:pPr>
        <w:autoSpaceDE w:val="0"/>
        <w:autoSpaceDN w:val="0"/>
        <w:adjustRightInd w:val="0"/>
        <w:jc w:val="center"/>
        <w:rPr>
          <w:rFonts w:hint="eastAsia" w:ascii="宋体" w:hAnsi="宋体" w:cs="MicrosoftYaHei"/>
          <w:b/>
          <w:color w:val="auto"/>
          <w:kern w:val="0"/>
          <w:sz w:val="32"/>
          <w:szCs w:val="32"/>
        </w:rPr>
      </w:pPr>
      <w:r>
        <w:rPr>
          <w:rFonts w:hint="eastAsia" w:ascii="宋体" w:hAnsi="宋体" w:cs="MicrosoftYaHei"/>
          <w:b/>
          <w:color w:val="auto"/>
          <w:kern w:val="0"/>
          <w:sz w:val="32"/>
          <w:szCs w:val="32"/>
        </w:rPr>
        <w:t>20</w:t>
      </w:r>
      <w:r>
        <w:rPr>
          <w:rFonts w:hint="eastAsia" w:ascii="宋体" w:hAnsi="宋体" w:cs="MicrosoftYaHei"/>
          <w:b/>
          <w:color w:val="auto"/>
          <w:kern w:val="0"/>
          <w:sz w:val="32"/>
          <w:szCs w:val="32"/>
          <w:lang w:val="en-US" w:eastAsia="zh-CN"/>
        </w:rPr>
        <w:t>25</w:t>
      </w:r>
      <w:r>
        <w:rPr>
          <w:rFonts w:hint="eastAsia" w:ascii="宋体" w:hAnsi="宋体" w:cs="MicrosoftYaHei"/>
          <w:b/>
          <w:color w:val="auto"/>
          <w:kern w:val="0"/>
          <w:sz w:val="32"/>
          <w:szCs w:val="32"/>
        </w:rPr>
        <w:t>年</w:t>
      </w:r>
      <w:r>
        <w:rPr>
          <w:rFonts w:hint="eastAsia" w:ascii="宋体" w:hAnsi="宋体" w:cs="MicrosoftYaHei"/>
          <w:b/>
          <w:color w:val="auto"/>
          <w:kern w:val="0"/>
          <w:sz w:val="32"/>
          <w:szCs w:val="32"/>
          <w:lang w:val="en-US" w:eastAsia="zh-CN"/>
        </w:rPr>
        <w:t>2</w:t>
      </w:r>
      <w:r>
        <w:rPr>
          <w:rFonts w:hint="eastAsia" w:ascii="宋体" w:hAnsi="宋体" w:cs="MicrosoftYaHei"/>
          <w:b/>
          <w:color w:val="auto"/>
          <w:kern w:val="0"/>
          <w:sz w:val="32"/>
          <w:szCs w:val="32"/>
        </w:rPr>
        <w:t>月</w:t>
      </w:r>
    </w:p>
    <w:p w14:paraId="398AB16B">
      <w:pPr>
        <w:rPr>
          <w:rFonts w:hint="eastAsia" w:ascii="宋体" w:hAnsi="宋体" w:cs="宋体"/>
          <w:b/>
          <w:color w:val="000000"/>
          <w:sz w:val="32"/>
          <w:szCs w:val="32"/>
        </w:rPr>
      </w:pPr>
    </w:p>
    <w:p w14:paraId="758AAEA0">
      <w:pPr>
        <w:rPr>
          <w:rFonts w:hint="eastAsia" w:ascii="宋体" w:hAnsi="宋体" w:cs="宋体"/>
          <w:color w:val="000000"/>
        </w:rPr>
        <w:sectPr>
          <w:headerReference r:id="rId5" w:type="first"/>
          <w:headerReference r:id="rId3" w:type="default"/>
          <w:headerReference r:id="rId4" w:type="even"/>
          <w:footerReference r:id="rId6" w:type="even"/>
          <w:pgSz w:w="11906" w:h="16838"/>
          <w:pgMar w:top="1418" w:right="1418" w:bottom="1418" w:left="1418" w:header="851" w:footer="992" w:gutter="0"/>
          <w:pgBorders>
            <w:top w:val="none" w:sz="0" w:space="0"/>
            <w:left w:val="none" w:sz="0" w:space="0"/>
            <w:bottom w:val="none" w:sz="0" w:space="0"/>
            <w:right w:val="none" w:sz="0" w:space="0"/>
          </w:pgBorders>
          <w:pgNumType w:fmt="decimal" w:start="0"/>
          <w:cols w:space="720" w:num="1"/>
          <w:titlePg/>
          <w:docGrid w:type="lines" w:linePitch="312" w:charSpace="0"/>
        </w:sectPr>
      </w:pPr>
    </w:p>
    <w:p w14:paraId="70120F5B">
      <w:pPr>
        <w:tabs>
          <w:tab w:val="center" w:pos="4573"/>
          <w:tab w:val="left" w:pos="5678"/>
        </w:tabs>
        <w:spacing w:before="100" w:beforeAutospacing="1" w:after="100" w:afterAutospacing="1"/>
        <w:ind w:firstLine="3935" w:firstLineChars="1400"/>
        <w:outlineLvl w:val="9"/>
        <w:rPr>
          <w:rFonts w:hint="eastAsia" w:ascii="宋体" w:hAnsi="宋体" w:eastAsia="宋体" w:cs="宋体"/>
          <w:b/>
          <w:color w:val="000000"/>
          <w:sz w:val="28"/>
          <w:szCs w:val="28"/>
        </w:rPr>
      </w:pPr>
      <w:r>
        <w:rPr>
          <w:rFonts w:hint="eastAsia" w:ascii="宋体" w:hAnsi="宋体" w:eastAsia="宋体" w:cs="宋体"/>
          <w:b/>
          <w:color w:val="000000"/>
          <w:sz w:val="28"/>
          <w:szCs w:val="28"/>
        </w:rPr>
        <w:t>目    录</w:t>
      </w:r>
    </w:p>
    <w:p w14:paraId="3F841467">
      <w:pPr>
        <w:pStyle w:val="19"/>
        <w:tabs>
          <w:tab w:val="right" w:leader="dot" w:pos="9070"/>
          <w:tab w:val="clear" w:pos="8296"/>
        </w:tabs>
      </w:pPr>
      <w:r>
        <w:rPr>
          <w:rFonts w:hint="eastAsia" w:ascii="宋体" w:hAnsi="宋体" w:eastAsia="宋体" w:cs="宋体"/>
          <w:b w:val="0"/>
          <w:bCs/>
          <w:color w:val="000000"/>
          <w:sz w:val="24"/>
          <w:szCs w:val="24"/>
        </w:rPr>
        <w:fldChar w:fldCharType="begin"/>
      </w:r>
      <w:r>
        <w:rPr>
          <w:rFonts w:hint="eastAsia" w:ascii="宋体" w:hAnsi="宋体" w:eastAsia="宋体" w:cs="宋体"/>
          <w:b w:val="0"/>
          <w:bCs/>
          <w:color w:val="000000"/>
          <w:sz w:val="24"/>
          <w:szCs w:val="24"/>
        </w:rPr>
        <w:instrText xml:space="preserve"> TOC \o "1-3" \u </w:instrText>
      </w:r>
      <w:r>
        <w:rPr>
          <w:rFonts w:hint="eastAsia" w:ascii="宋体" w:hAnsi="宋体" w:eastAsia="宋体" w:cs="宋体"/>
          <w:b w:val="0"/>
          <w:bCs/>
          <w:color w:val="000000"/>
          <w:sz w:val="24"/>
          <w:szCs w:val="24"/>
        </w:rPr>
        <w:fldChar w:fldCharType="separate"/>
      </w:r>
      <w:r>
        <w:rPr>
          <w:rFonts w:hint="eastAsia" w:ascii="宋体" w:hAnsi="宋体" w:cs="宋体"/>
          <w:color w:val="000000"/>
          <w:kern w:val="0"/>
          <w:szCs w:val="30"/>
          <w:lang w:val="zh-CN" w:eastAsia="zh-CN"/>
        </w:rPr>
        <w:t>1 前言</w:t>
      </w:r>
      <w:r>
        <w:tab/>
      </w:r>
      <w:r>
        <w:fldChar w:fldCharType="begin"/>
      </w:r>
      <w:r>
        <w:instrText xml:space="preserve"> PAGEREF _Toc16378 \h </w:instrText>
      </w:r>
      <w:r>
        <w:fldChar w:fldCharType="separate"/>
      </w:r>
      <w:r>
        <w:t>1</w:t>
      </w:r>
      <w:r>
        <w:fldChar w:fldCharType="end"/>
      </w:r>
    </w:p>
    <w:p w14:paraId="79B90666">
      <w:pPr>
        <w:pStyle w:val="19"/>
        <w:tabs>
          <w:tab w:val="right" w:leader="dot" w:pos="9070"/>
          <w:tab w:val="clear" w:pos="8296"/>
        </w:tabs>
      </w:pPr>
      <w:r>
        <w:rPr>
          <w:rFonts w:hint="eastAsia" w:ascii="宋体" w:hAnsi="宋体" w:cs="宋体"/>
          <w:color w:val="000000"/>
          <w:kern w:val="0"/>
          <w:szCs w:val="30"/>
          <w:lang w:val="zh-CN" w:eastAsia="zh-CN"/>
        </w:rPr>
        <w:t>2 总则</w:t>
      </w:r>
      <w:r>
        <w:tab/>
      </w:r>
      <w:r>
        <w:fldChar w:fldCharType="begin"/>
      </w:r>
      <w:r>
        <w:instrText xml:space="preserve"> PAGEREF _Toc8873 \h </w:instrText>
      </w:r>
      <w:r>
        <w:fldChar w:fldCharType="separate"/>
      </w:r>
      <w:r>
        <w:t>2</w:t>
      </w:r>
      <w:r>
        <w:fldChar w:fldCharType="end"/>
      </w:r>
    </w:p>
    <w:p w14:paraId="6695C282">
      <w:pPr>
        <w:pStyle w:val="20"/>
        <w:tabs>
          <w:tab w:val="right" w:leader="dot" w:pos="9070"/>
        </w:tabs>
      </w:pPr>
      <w:r>
        <w:rPr>
          <w:rFonts w:hint="eastAsia" w:ascii="宋体" w:hAnsi="宋体" w:cs="宋体"/>
          <w:color w:val="000000"/>
          <w:kern w:val="0"/>
          <w:szCs w:val="28"/>
          <w:lang w:val="zh-CN" w:eastAsia="zh-CN"/>
        </w:rPr>
        <w:t>2.1编制原则</w:t>
      </w:r>
      <w:r>
        <w:tab/>
      </w:r>
      <w:r>
        <w:fldChar w:fldCharType="begin"/>
      </w:r>
      <w:r>
        <w:instrText xml:space="preserve"> PAGEREF _Toc25688 \h </w:instrText>
      </w:r>
      <w:r>
        <w:fldChar w:fldCharType="separate"/>
      </w:r>
      <w:r>
        <w:t>2</w:t>
      </w:r>
      <w:r>
        <w:fldChar w:fldCharType="end"/>
      </w:r>
    </w:p>
    <w:p w14:paraId="0F26F1CB">
      <w:pPr>
        <w:pStyle w:val="15"/>
        <w:tabs>
          <w:tab w:val="right" w:leader="dot" w:pos="9070"/>
        </w:tabs>
      </w:pPr>
      <w:r>
        <w:rPr>
          <w:rFonts w:hint="eastAsia" w:ascii="宋体" w:hAnsi="宋体" w:eastAsia="宋体" w:cs="Times New Roman"/>
          <w:bCs/>
          <w:color w:val="000000"/>
          <w:szCs w:val="28"/>
          <w:lang w:val="en-US" w:eastAsia="zh-CN"/>
        </w:rPr>
        <w:t>2.</w:t>
      </w:r>
      <w:r>
        <w:rPr>
          <w:rFonts w:hint="eastAsia" w:ascii="宋体" w:hAnsi="宋体" w:cs="Times New Roman"/>
          <w:bCs/>
          <w:color w:val="000000"/>
          <w:szCs w:val="28"/>
          <w:lang w:val="en-US" w:eastAsia="zh-CN"/>
        </w:rPr>
        <w:t>1</w:t>
      </w:r>
      <w:r>
        <w:rPr>
          <w:rFonts w:hint="eastAsia" w:ascii="宋体" w:hAnsi="宋体" w:eastAsia="宋体" w:cs="Times New Roman"/>
          <w:bCs/>
          <w:color w:val="000000"/>
          <w:szCs w:val="28"/>
          <w:lang w:val="en-US" w:eastAsia="zh-CN"/>
        </w:rPr>
        <w:t>.1相关法律依据</w:t>
      </w:r>
      <w:r>
        <w:tab/>
      </w:r>
      <w:r>
        <w:fldChar w:fldCharType="begin"/>
      </w:r>
      <w:r>
        <w:instrText xml:space="preserve"> PAGEREF _Toc14342 \h </w:instrText>
      </w:r>
      <w:r>
        <w:fldChar w:fldCharType="separate"/>
      </w:r>
      <w:r>
        <w:t>2</w:t>
      </w:r>
      <w:r>
        <w:fldChar w:fldCharType="end"/>
      </w:r>
    </w:p>
    <w:p w14:paraId="010D4845">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2.</w:t>
      </w:r>
      <w:r>
        <w:rPr>
          <w:rFonts w:hint="eastAsia" w:ascii="宋体" w:hAnsi="宋体" w:cs="Times New Roman"/>
          <w:bCs/>
          <w:color w:val="000000" w:themeColor="text1"/>
          <w:szCs w:val="28"/>
          <w:lang w:val="en-US" w:eastAsia="zh-CN"/>
          <w14:textFill>
            <w14:solidFill>
              <w14:schemeClr w14:val="tx1"/>
            </w14:solidFill>
          </w14:textFill>
        </w:rPr>
        <w:t>1</w:t>
      </w:r>
      <w:r>
        <w:rPr>
          <w:rFonts w:hint="eastAsia" w:ascii="宋体" w:hAnsi="宋体" w:eastAsia="宋体" w:cs="Times New Roman"/>
          <w:bCs/>
          <w:color w:val="000000" w:themeColor="text1"/>
          <w:szCs w:val="28"/>
          <w:lang w:val="en-US" w:eastAsia="zh-CN"/>
          <w14:textFill>
            <w14:solidFill>
              <w14:schemeClr w14:val="tx1"/>
            </w14:solidFill>
          </w14:textFill>
        </w:rPr>
        <w:t>.2相关技术导则、环境质量标准</w:t>
      </w:r>
      <w:r>
        <w:tab/>
      </w:r>
      <w:r>
        <w:fldChar w:fldCharType="begin"/>
      </w:r>
      <w:r>
        <w:instrText xml:space="preserve"> PAGEREF _Toc12541 \h </w:instrText>
      </w:r>
      <w:r>
        <w:fldChar w:fldCharType="separate"/>
      </w:r>
      <w:r>
        <w:t>3</w:t>
      </w:r>
      <w:r>
        <w:fldChar w:fldCharType="end"/>
      </w:r>
    </w:p>
    <w:p w14:paraId="6D5B8F44">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2.</w:t>
      </w:r>
      <w:r>
        <w:rPr>
          <w:rFonts w:hint="eastAsia" w:ascii="宋体" w:hAnsi="宋体" w:cs="Times New Roman"/>
          <w:bCs/>
          <w:color w:val="000000" w:themeColor="text1"/>
          <w:szCs w:val="28"/>
          <w:lang w:val="en-US" w:eastAsia="zh-CN"/>
          <w14:textFill>
            <w14:solidFill>
              <w14:schemeClr w14:val="tx1"/>
            </w14:solidFill>
          </w14:textFill>
        </w:rPr>
        <w:t>1</w:t>
      </w:r>
      <w:r>
        <w:rPr>
          <w:rFonts w:hint="eastAsia" w:ascii="宋体" w:hAnsi="宋体" w:eastAsia="宋体" w:cs="Times New Roman"/>
          <w:bCs/>
          <w:color w:val="000000" w:themeColor="text1"/>
          <w:szCs w:val="28"/>
          <w:lang w:val="en-US" w:eastAsia="zh-CN"/>
          <w14:textFill>
            <w14:solidFill>
              <w14:schemeClr w14:val="tx1"/>
            </w14:solidFill>
          </w14:textFill>
        </w:rPr>
        <w:t>.3其他相关依据</w:t>
      </w:r>
      <w:r>
        <w:tab/>
      </w:r>
      <w:r>
        <w:fldChar w:fldCharType="begin"/>
      </w:r>
      <w:r>
        <w:instrText xml:space="preserve"> PAGEREF _Toc28544 \h </w:instrText>
      </w:r>
      <w:r>
        <w:fldChar w:fldCharType="separate"/>
      </w:r>
      <w:r>
        <w:t>4</w:t>
      </w:r>
      <w:r>
        <w:fldChar w:fldCharType="end"/>
      </w:r>
    </w:p>
    <w:p w14:paraId="21CD0CDA">
      <w:pPr>
        <w:pStyle w:val="20"/>
        <w:tabs>
          <w:tab w:val="right" w:leader="dot" w:pos="9070"/>
        </w:tabs>
      </w:pPr>
      <w:r>
        <w:rPr>
          <w:rFonts w:hint="eastAsia" w:ascii="宋体" w:hAnsi="宋体" w:eastAsia="宋体"/>
          <w:color w:val="000000" w:themeColor="text1"/>
          <w:w w:val="95"/>
          <w:szCs w:val="28"/>
          <w:lang w:val="en-US" w:eastAsia="zh-CN"/>
          <w14:textFill>
            <w14:solidFill>
              <w14:schemeClr w14:val="tx1"/>
            </w14:solidFill>
          </w14:textFill>
        </w:rPr>
        <w:t>2.</w:t>
      </w:r>
      <w:r>
        <w:rPr>
          <w:rFonts w:hint="eastAsia" w:ascii="宋体" w:hAnsi="宋体"/>
          <w:color w:val="000000" w:themeColor="text1"/>
          <w:w w:val="95"/>
          <w:szCs w:val="28"/>
          <w:lang w:val="en-US" w:eastAsia="zh-CN"/>
          <w14:textFill>
            <w14:solidFill>
              <w14:schemeClr w14:val="tx1"/>
            </w14:solidFill>
          </w14:textFill>
        </w:rPr>
        <w:t>2</w:t>
      </w:r>
      <w:r>
        <w:rPr>
          <w:rFonts w:hint="eastAsia" w:ascii="宋体" w:hAnsi="宋体" w:eastAsia="宋体"/>
          <w:color w:val="000000" w:themeColor="text1"/>
          <w:w w:val="95"/>
          <w:szCs w:val="28"/>
          <w:lang w:val="en-US" w:eastAsia="zh-CN"/>
          <w14:textFill>
            <w14:solidFill>
              <w14:schemeClr w14:val="tx1"/>
            </w14:solidFill>
          </w14:textFill>
        </w:rPr>
        <w:t xml:space="preserve">  </w:t>
      </w:r>
      <w:r>
        <w:rPr>
          <w:rFonts w:hint="eastAsia" w:ascii="宋体" w:hAnsi="宋体" w:eastAsia="宋体"/>
          <w:color w:val="000000" w:themeColor="text1"/>
          <w:w w:val="95"/>
          <w:szCs w:val="28"/>
          <w:lang w:eastAsia="zh-CN"/>
          <w14:textFill>
            <w14:solidFill>
              <w14:schemeClr w14:val="tx1"/>
            </w14:solidFill>
          </w14:textFill>
        </w:rPr>
        <w:t>评价范围</w:t>
      </w:r>
      <w:r>
        <w:tab/>
      </w:r>
      <w:r>
        <w:fldChar w:fldCharType="begin"/>
      </w:r>
      <w:r>
        <w:instrText xml:space="preserve"> PAGEREF _Toc26478 \h </w:instrText>
      </w:r>
      <w:r>
        <w:fldChar w:fldCharType="separate"/>
      </w:r>
      <w:r>
        <w:t>4</w:t>
      </w:r>
      <w:r>
        <w:fldChar w:fldCharType="end"/>
      </w:r>
    </w:p>
    <w:p w14:paraId="7C9880F5">
      <w:pPr>
        <w:pStyle w:val="20"/>
        <w:tabs>
          <w:tab w:val="right" w:leader="dot" w:pos="9070"/>
        </w:tabs>
      </w:pPr>
      <w:r>
        <w:rPr>
          <w:rFonts w:hint="eastAsia" w:ascii="宋体" w:hAnsi="宋体" w:eastAsia="宋体"/>
          <w:color w:val="000000" w:themeColor="text1"/>
          <w:w w:val="95"/>
          <w:szCs w:val="28"/>
          <w:lang w:eastAsia="zh-CN"/>
          <w14:textFill>
            <w14:solidFill>
              <w14:schemeClr w14:val="tx1"/>
            </w14:solidFill>
          </w14:textFill>
        </w:rPr>
        <w:t>2.</w:t>
      </w:r>
      <w:r>
        <w:rPr>
          <w:rFonts w:hint="eastAsia" w:ascii="宋体" w:hAnsi="宋体" w:eastAsia="宋体"/>
          <w:color w:val="000000" w:themeColor="text1"/>
          <w:w w:val="95"/>
          <w:szCs w:val="28"/>
          <w:lang w:val="en-US" w:eastAsia="zh-CN"/>
          <w14:textFill>
            <w14:solidFill>
              <w14:schemeClr w14:val="tx1"/>
            </w14:solidFill>
          </w14:textFill>
        </w:rPr>
        <w:t>3</w:t>
      </w:r>
      <w:r>
        <w:rPr>
          <w:rFonts w:hint="eastAsia" w:ascii="宋体" w:hAnsi="宋体" w:eastAsia="宋体"/>
          <w:color w:val="000000" w:themeColor="text1"/>
          <w:w w:val="95"/>
          <w:szCs w:val="28"/>
          <w:lang w:eastAsia="zh-CN"/>
          <w14:textFill>
            <w14:solidFill>
              <w14:schemeClr w14:val="tx1"/>
            </w14:solidFill>
          </w14:textFill>
        </w:rPr>
        <w:t>企业突发环境事件风险评估程序</w:t>
      </w:r>
      <w:r>
        <w:tab/>
      </w:r>
      <w:r>
        <w:fldChar w:fldCharType="begin"/>
      </w:r>
      <w:r>
        <w:instrText xml:space="preserve"> PAGEREF _Toc5678 \h </w:instrText>
      </w:r>
      <w:r>
        <w:fldChar w:fldCharType="separate"/>
      </w:r>
      <w:r>
        <w:t>4</w:t>
      </w:r>
      <w:r>
        <w:fldChar w:fldCharType="end"/>
      </w:r>
    </w:p>
    <w:p w14:paraId="0B154AC2">
      <w:pPr>
        <w:pStyle w:val="19"/>
        <w:tabs>
          <w:tab w:val="right" w:leader="dot" w:pos="9070"/>
          <w:tab w:val="clear" w:pos="8296"/>
        </w:tabs>
      </w:pPr>
      <w:r>
        <w:rPr>
          <w:rFonts w:hint="eastAsia" w:ascii="Times New Roman" w:hAnsi="Times New Roman" w:eastAsia="宋体" w:cs="Times New Roman"/>
          <w:bCs w:val="0"/>
          <w:color w:val="000000" w:themeColor="text1"/>
          <w:kern w:val="28"/>
          <w:szCs w:val="20"/>
          <w:lang w:eastAsia="zh-CN" w:bidi="ar-SA"/>
          <w14:textFill>
            <w14:solidFill>
              <w14:schemeClr w14:val="tx1"/>
            </w14:solidFill>
          </w14:textFill>
        </w:rPr>
        <w:t>3资料准备与环境风险识别</w:t>
      </w:r>
      <w:r>
        <w:tab/>
      </w:r>
      <w:r>
        <w:fldChar w:fldCharType="begin"/>
      </w:r>
      <w:r>
        <w:instrText xml:space="preserve"> PAGEREF _Toc29571 \h </w:instrText>
      </w:r>
      <w:r>
        <w:fldChar w:fldCharType="separate"/>
      </w:r>
      <w:r>
        <w:t>6</w:t>
      </w:r>
      <w:r>
        <w:fldChar w:fldCharType="end"/>
      </w:r>
    </w:p>
    <w:p w14:paraId="2FBBB01F">
      <w:pPr>
        <w:pStyle w:val="20"/>
        <w:tabs>
          <w:tab w:val="right" w:leader="dot" w:pos="9070"/>
        </w:tabs>
        <w:rPr>
          <w:b w:val="0"/>
          <w:bCs/>
        </w:rPr>
      </w:pPr>
      <w:r>
        <w:rPr>
          <w:rFonts w:hint="eastAsia" w:ascii="宋体" w:hAnsi="宋体" w:eastAsia="宋体" w:cs="宋体"/>
          <w:b w:val="0"/>
          <w:bCs/>
          <w:color w:val="000000"/>
          <w:kern w:val="2"/>
          <w:szCs w:val="28"/>
          <w:lang w:eastAsia="zh-CN"/>
        </w:rPr>
        <w:t>3.1 企业基本信息</w:t>
      </w:r>
      <w:r>
        <w:rPr>
          <w:b w:val="0"/>
          <w:bCs/>
        </w:rPr>
        <w:tab/>
      </w:r>
      <w:r>
        <w:rPr>
          <w:b w:val="0"/>
          <w:bCs/>
        </w:rPr>
        <w:fldChar w:fldCharType="begin"/>
      </w:r>
      <w:r>
        <w:rPr>
          <w:b w:val="0"/>
          <w:bCs/>
        </w:rPr>
        <w:instrText xml:space="preserve"> PAGEREF _Toc22328 \h </w:instrText>
      </w:r>
      <w:r>
        <w:rPr>
          <w:b w:val="0"/>
          <w:bCs/>
        </w:rPr>
        <w:fldChar w:fldCharType="separate"/>
      </w:r>
      <w:r>
        <w:rPr>
          <w:b w:val="0"/>
          <w:bCs/>
        </w:rPr>
        <w:t>6</w:t>
      </w:r>
      <w:r>
        <w:rPr>
          <w:b w:val="0"/>
          <w:bCs/>
        </w:rPr>
        <w:fldChar w:fldCharType="end"/>
      </w:r>
    </w:p>
    <w:p w14:paraId="1988218D">
      <w:pPr>
        <w:pStyle w:val="15"/>
        <w:tabs>
          <w:tab w:val="right" w:leader="dot" w:pos="9070"/>
        </w:tabs>
        <w:rPr>
          <w:b w:val="0"/>
          <w:bCs/>
        </w:rPr>
      </w:pPr>
      <w:r>
        <w:rPr>
          <w:rFonts w:hint="eastAsia" w:ascii="宋体" w:hAnsi="宋体" w:eastAsia="宋体" w:cs="Times New Roman"/>
          <w:b w:val="0"/>
          <w:bCs/>
          <w:color w:val="000000" w:themeColor="text1"/>
          <w:szCs w:val="28"/>
          <w:lang w:val="en-US" w:eastAsia="zh-CN"/>
          <w14:textFill>
            <w14:solidFill>
              <w14:schemeClr w14:val="tx1"/>
            </w14:solidFill>
          </w14:textFill>
        </w:rPr>
        <w:t>3.1.1单位情况简介</w:t>
      </w:r>
      <w:r>
        <w:rPr>
          <w:b w:val="0"/>
          <w:bCs/>
        </w:rPr>
        <w:tab/>
      </w:r>
      <w:r>
        <w:rPr>
          <w:b w:val="0"/>
          <w:bCs/>
        </w:rPr>
        <w:fldChar w:fldCharType="begin"/>
      </w:r>
      <w:r>
        <w:rPr>
          <w:b w:val="0"/>
          <w:bCs/>
        </w:rPr>
        <w:instrText xml:space="preserve"> PAGEREF _Toc20392 \h </w:instrText>
      </w:r>
      <w:r>
        <w:rPr>
          <w:b w:val="0"/>
          <w:bCs/>
        </w:rPr>
        <w:fldChar w:fldCharType="separate"/>
      </w:r>
      <w:r>
        <w:rPr>
          <w:b w:val="0"/>
          <w:bCs/>
        </w:rPr>
        <w:t>6</w:t>
      </w:r>
      <w:r>
        <w:rPr>
          <w:b w:val="0"/>
          <w:bCs/>
        </w:rPr>
        <w:fldChar w:fldCharType="end"/>
      </w:r>
    </w:p>
    <w:p w14:paraId="77CFA542">
      <w:pPr>
        <w:pStyle w:val="15"/>
        <w:tabs>
          <w:tab w:val="right" w:leader="dot" w:pos="9070"/>
        </w:tabs>
        <w:rPr>
          <w:b w:val="0"/>
          <w:bCs/>
        </w:rPr>
      </w:pPr>
      <w:r>
        <w:rPr>
          <w:rFonts w:hint="eastAsia" w:ascii="宋体" w:hAnsi="宋体" w:eastAsia="宋体" w:cs="Times New Roman"/>
          <w:b w:val="0"/>
          <w:bCs/>
          <w:color w:val="000000"/>
          <w:szCs w:val="28"/>
          <w:lang w:val="en-US" w:eastAsia="zh-CN"/>
        </w:rPr>
        <w:t>3.1.2自然环境概况</w:t>
      </w:r>
      <w:r>
        <w:rPr>
          <w:b w:val="0"/>
          <w:bCs/>
        </w:rPr>
        <w:tab/>
      </w:r>
      <w:r>
        <w:rPr>
          <w:b w:val="0"/>
          <w:bCs/>
        </w:rPr>
        <w:fldChar w:fldCharType="begin"/>
      </w:r>
      <w:r>
        <w:rPr>
          <w:b w:val="0"/>
          <w:bCs/>
        </w:rPr>
        <w:instrText xml:space="preserve"> PAGEREF _Toc30621 \h </w:instrText>
      </w:r>
      <w:r>
        <w:rPr>
          <w:b w:val="0"/>
          <w:bCs/>
        </w:rPr>
        <w:fldChar w:fldCharType="separate"/>
      </w:r>
      <w:r>
        <w:rPr>
          <w:b w:val="0"/>
          <w:bCs/>
        </w:rPr>
        <w:t>7</w:t>
      </w:r>
      <w:r>
        <w:rPr>
          <w:b w:val="0"/>
          <w:bCs/>
        </w:rPr>
        <w:fldChar w:fldCharType="end"/>
      </w:r>
    </w:p>
    <w:p w14:paraId="5192F877">
      <w:pPr>
        <w:pStyle w:val="15"/>
        <w:tabs>
          <w:tab w:val="right" w:leader="dot" w:pos="9070"/>
        </w:tabs>
        <w:rPr>
          <w:b w:val="0"/>
          <w:bCs/>
        </w:rPr>
      </w:pPr>
      <w:r>
        <w:rPr>
          <w:rFonts w:hint="eastAsia" w:ascii="宋体" w:hAnsi="宋体" w:eastAsia="宋体" w:cs="Times New Roman"/>
          <w:b w:val="0"/>
          <w:bCs/>
          <w:color w:val="000000" w:themeColor="text1"/>
          <w:szCs w:val="28"/>
          <w:lang w:val="en-US" w:eastAsia="zh-CN"/>
          <w14:textFill>
            <w14:solidFill>
              <w14:schemeClr w14:val="tx1"/>
            </w14:solidFill>
          </w14:textFill>
        </w:rPr>
        <w:t>3.1.3环境功能区划与现状</w:t>
      </w:r>
      <w:r>
        <w:rPr>
          <w:b w:val="0"/>
          <w:bCs/>
        </w:rPr>
        <w:tab/>
      </w:r>
      <w:r>
        <w:rPr>
          <w:b w:val="0"/>
          <w:bCs/>
        </w:rPr>
        <w:fldChar w:fldCharType="begin"/>
      </w:r>
      <w:r>
        <w:rPr>
          <w:b w:val="0"/>
          <w:bCs/>
        </w:rPr>
        <w:instrText xml:space="preserve"> PAGEREF _Toc6174 \h </w:instrText>
      </w:r>
      <w:r>
        <w:rPr>
          <w:b w:val="0"/>
          <w:bCs/>
        </w:rPr>
        <w:fldChar w:fldCharType="separate"/>
      </w:r>
      <w:r>
        <w:rPr>
          <w:b w:val="0"/>
          <w:bCs/>
        </w:rPr>
        <w:t>10</w:t>
      </w:r>
      <w:r>
        <w:rPr>
          <w:b w:val="0"/>
          <w:bCs/>
        </w:rPr>
        <w:fldChar w:fldCharType="end"/>
      </w:r>
    </w:p>
    <w:p w14:paraId="6496D144">
      <w:pPr>
        <w:pStyle w:val="20"/>
        <w:tabs>
          <w:tab w:val="right" w:leader="dot" w:pos="9070"/>
        </w:tabs>
        <w:rPr>
          <w:rFonts w:hint="eastAsia" w:ascii="宋体" w:hAnsi="宋体" w:eastAsia="宋体" w:cs="宋体"/>
          <w:b w:val="0"/>
          <w:bCs/>
          <w:color w:val="000000"/>
          <w:kern w:val="2"/>
          <w:szCs w:val="28"/>
          <w:lang w:eastAsia="zh-CN"/>
        </w:rPr>
      </w:pPr>
      <w:r>
        <w:rPr>
          <w:rFonts w:hint="eastAsia" w:ascii="宋体" w:hAnsi="宋体" w:eastAsia="宋体" w:cs="宋体"/>
          <w:b w:val="0"/>
          <w:bCs/>
          <w:color w:val="000000"/>
          <w:kern w:val="2"/>
          <w:szCs w:val="28"/>
          <w:lang w:eastAsia="zh-CN"/>
        </w:rPr>
        <w:t>3.2企业周边环境风险受体情况</w:t>
      </w:r>
      <w:r>
        <w:rPr>
          <w:rFonts w:hint="eastAsia" w:ascii="宋体" w:hAnsi="宋体" w:eastAsia="宋体" w:cs="宋体"/>
          <w:b w:val="0"/>
          <w:bCs/>
          <w:color w:val="000000"/>
          <w:kern w:val="2"/>
          <w:szCs w:val="28"/>
          <w:lang w:eastAsia="zh-CN"/>
        </w:rPr>
        <w:tab/>
      </w:r>
      <w:r>
        <w:rPr>
          <w:rFonts w:hint="eastAsia" w:ascii="宋体" w:hAnsi="宋体" w:eastAsia="宋体" w:cs="宋体"/>
          <w:b w:val="0"/>
          <w:bCs/>
          <w:color w:val="000000"/>
          <w:kern w:val="2"/>
          <w:szCs w:val="28"/>
          <w:lang w:eastAsia="zh-CN"/>
        </w:rPr>
        <w:fldChar w:fldCharType="begin"/>
      </w:r>
      <w:r>
        <w:rPr>
          <w:rFonts w:hint="eastAsia" w:ascii="宋体" w:hAnsi="宋体" w:eastAsia="宋体" w:cs="宋体"/>
          <w:b w:val="0"/>
          <w:bCs/>
          <w:color w:val="000000"/>
          <w:kern w:val="2"/>
          <w:szCs w:val="28"/>
          <w:lang w:eastAsia="zh-CN"/>
        </w:rPr>
        <w:instrText xml:space="preserve"> PAGEREF _Toc18667 \h </w:instrText>
      </w:r>
      <w:r>
        <w:rPr>
          <w:rFonts w:hint="eastAsia" w:ascii="宋体" w:hAnsi="宋体" w:eastAsia="宋体" w:cs="宋体"/>
          <w:b w:val="0"/>
          <w:bCs/>
          <w:color w:val="000000"/>
          <w:kern w:val="2"/>
          <w:szCs w:val="28"/>
          <w:lang w:eastAsia="zh-CN"/>
        </w:rPr>
        <w:fldChar w:fldCharType="separate"/>
      </w:r>
      <w:r>
        <w:rPr>
          <w:rFonts w:hint="eastAsia" w:ascii="宋体" w:hAnsi="宋体" w:eastAsia="宋体" w:cs="宋体"/>
          <w:b w:val="0"/>
          <w:bCs/>
          <w:color w:val="000000"/>
          <w:kern w:val="2"/>
          <w:szCs w:val="28"/>
          <w:lang w:eastAsia="zh-CN"/>
        </w:rPr>
        <w:t>10</w:t>
      </w:r>
      <w:r>
        <w:rPr>
          <w:rFonts w:hint="eastAsia" w:ascii="宋体" w:hAnsi="宋体" w:eastAsia="宋体" w:cs="宋体"/>
          <w:b w:val="0"/>
          <w:bCs/>
          <w:color w:val="000000"/>
          <w:kern w:val="2"/>
          <w:szCs w:val="28"/>
          <w:lang w:eastAsia="zh-CN"/>
        </w:rPr>
        <w:fldChar w:fldCharType="end"/>
      </w:r>
    </w:p>
    <w:p w14:paraId="34D9F017">
      <w:pPr>
        <w:pStyle w:val="20"/>
        <w:tabs>
          <w:tab w:val="right" w:leader="dot" w:pos="9070"/>
        </w:tabs>
        <w:rPr>
          <w:rFonts w:hint="eastAsia" w:ascii="宋体" w:hAnsi="宋体" w:eastAsia="宋体" w:cs="宋体"/>
          <w:b w:val="0"/>
          <w:bCs/>
          <w:color w:val="000000"/>
          <w:kern w:val="2"/>
          <w:szCs w:val="28"/>
          <w:lang w:eastAsia="zh-CN"/>
        </w:rPr>
      </w:pPr>
      <w:r>
        <w:rPr>
          <w:rFonts w:hint="eastAsia" w:ascii="宋体" w:hAnsi="宋体" w:eastAsia="宋体" w:cs="宋体"/>
          <w:b w:val="0"/>
          <w:bCs/>
          <w:color w:val="000000"/>
          <w:kern w:val="2"/>
          <w:szCs w:val="28"/>
          <w:lang w:eastAsia="zh-CN"/>
        </w:rPr>
        <w:t>3.3 涉及环境风险物质情况</w:t>
      </w:r>
      <w:r>
        <w:rPr>
          <w:rFonts w:hint="eastAsia" w:ascii="宋体" w:hAnsi="宋体" w:eastAsia="宋体" w:cs="宋体"/>
          <w:b w:val="0"/>
          <w:bCs/>
          <w:color w:val="000000"/>
          <w:kern w:val="2"/>
          <w:szCs w:val="28"/>
          <w:lang w:eastAsia="zh-CN"/>
        </w:rPr>
        <w:tab/>
      </w:r>
      <w:r>
        <w:rPr>
          <w:rFonts w:hint="eastAsia" w:ascii="宋体" w:hAnsi="宋体" w:eastAsia="宋体" w:cs="宋体"/>
          <w:b w:val="0"/>
          <w:bCs/>
          <w:color w:val="000000"/>
          <w:kern w:val="2"/>
          <w:szCs w:val="28"/>
          <w:lang w:eastAsia="zh-CN"/>
        </w:rPr>
        <w:fldChar w:fldCharType="begin"/>
      </w:r>
      <w:r>
        <w:rPr>
          <w:rFonts w:hint="eastAsia" w:ascii="宋体" w:hAnsi="宋体" w:eastAsia="宋体" w:cs="宋体"/>
          <w:b w:val="0"/>
          <w:bCs/>
          <w:color w:val="000000"/>
          <w:kern w:val="2"/>
          <w:szCs w:val="28"/>
          <w:lang w:eastAsia="zh-CN"/>
        </w:rPr>
        <w:instrText xml:space="preserve"> PAGEREF _Toc11590 \h </w:instrText>
      </w:r>
      <w:r>
        <w:rPr>
          <w:rFonts w:hint="eastAsia" w:ascii="宋体" w:hAnsi="宋体" w:eastAsia="宋体" w:cs="宋体"/>
          <w:b w:val="0"/>
          <w:bCs/>
          <w:color w:val="000000"/>
          <w:kern w:val="2"/>
          <w:szCs w:val="28"/>
          <w:lang w:eastAsia="zh-CN"/>
        </w:rPr>
        <w:fldChar w:fldCharType="separate"/>
      </w:r>
      <w:r>
        <w:rPr>
          <w:rFonts w:hint="eastAsia" w:ascii="宋体" w:hAnsi="宋体" w:eastAsia="宋体" w:cs="宋体"/>
          <w:b w:val="0"/>
          <w:bCs/>
          <w:color w:val="000000"/>
          <w:kern w:val="2"/>
          <w:szCs w:val="28"/>
          <w:lang w:eastAsia="zh-CN"/>
        </w:rPr>
        <w:t>11</w:t>
      </w:r>
      <w:r>
        <w:rPr>
          <w:rFonts w:hint="eastAsia" w:ascii="宋体" w:hAnsi="宋体" w:eastAsia="宋体" w:cs="宋体"/>
          <w:b w:val="0"/>
          <w:bCs/>
          <w:color w:val="000000"/>
          <w:kern w:val="2"/>
          <w:szCs w:val="28"/>
          <w:lang w:eastAsia="zh-CN"/>
        </w:rPr>
        <w:fldChar w:fldCharType="end"/>
      </w:r>
    </w:p>
    <w:p w14:paraId="0CE7E943">
      <w:pPr>
        <w:pStyle w:val="20"/>
        <w:tabs>
          <w:tab w:val="right" w:leader="dot" w:pos="9070"/>
        </w:tabs>
        <w:rPr>
          <w:rFonts w:hint="eastAsia" w:ascii="宋体" w:hAnsi="宋体" w:eastAsia="宋体" w:cs="宋体"/>
          <w:b w:val="0"/>
          <w:bCs/>
          <w:color w:val="000000"/>
          <w:kern w:val="2"/>
          <w:szCs w:val="28"/>
          <w:lang w:eastAsia="zh-CN"/>
        </w:rPr>
      </w:pPr>
      <w:r>
        <w:rPr>
          <w:rFonts w:hint="eastAsia" w:ascii="宋体" w:hAnsi="宋体" w:eastAsia="宋体" w:cs="宋体"/>
          <w:b w:val="0"/>
          <w:bCs/>
          <w:color w:val="000000"/>
          <w:kern w:val="2"/>
          <w:szCs w:val="28"/>
          <w:lang w:eastAsia="zh-CN"/>
        </w:rPr>
        <w:t>3.4生产工艺</w:t>
      </w:r>
      <w:r>
        <w:rPr>
          <w:rFonts w:hint="eastAsia" w:ascii="宋体" w:hAnsi="宋体" w:eastAsia="宋体" w:cs="宋体"/>
          <w:b w:val="0"/>
          <w:bCs/>
          <w:color w:val="000000"/>
          <w:kern w:val="2"/>
          <w:szCs w:val="28"/>
          <w:lang w:eastAsia="zh-CN"/>
        </w:rPr>
        <w:tab/>
      </w:r>
      <w:r>
        <w:rPr>
          <w:rFonts w:hint="eastAsia" w:ascii="宋体" w:hAnsi="宋体" w:eastAsia="宋体" w:cs="宋体"/>
          <w:b w:val="0"/>
          <w:bCs/>
          <w:color w:val="000000"/>
          <w:kern w:val="2"/>
          <w:szCs w:val="28"/>
          <w:lang w:eastAsia="zh-CN"/>
        </w:rPr>
        <w:fldChar w:fldCharType="begin"/>
      </w:r>
      <w:r>
        <w:rPr>
          <w:rFonts w:hint="eastAsia" w:ascii="宋体" w:hAnsi="宋体" w:eastAsia="宋体" w:cs="宋体"/>
          <w:b w:val="0"/>
          <w:bCs/>
          <w:color w:val="000000"/>
          <w:kern w:val="2"/>
          <w:szCs w:val="28"/>
          <w:lang w:eastAsia="zh-CN"/>
        </w:rPr>
        <w:instrText xml:space="preserve"> PAGEREF _Toc21216 \h </w:instrText>
      </w:r>
      <w:r>
        <w:rPr>
          <w:rFonts w:hint="eastAsia" w:ascii="宋体" w:hAnsi="宋体" w:eastAsia="宋体" w:cs="宋体"/>
          <w:b w:val="0"/>
          <w:bCs/>
          <w:color w:val="000000"/>
          <w:kern w:val="2"/>
          <w:szCs w:val="28"/>
          <w:lang w:eastAsia="zh-CN"/>
        </w:rPr>
        <w:fldChar w:fldCharType="separate"/>
      </w:r>
      <w:r>
        <w:rPr>
          <w:rFonts w:hint="eastAsia" w:ascii="宋体" w:hAnsi="宋体" w:eastAsia="宋体" w:cs="宋体"/>
          <w:b w:val="0"/>
          <w:bCs/>
          <w:color w:val="000000"/>
          <w:kern w:val="2"/>
          <w:szCs w:val="28"/>
          <w:lang w:eastAsia="zh-CN"/>
        </w:rPr>
        <w:t>15</w:t>
      </w:r>
      <w:r>
        <w:rPr>
          <w:rFonts w:hint="eastAsia" w:ascii="宋体" w:hAnsi="宋体" w:eastAsia="宋体" w:cs="宋体"/>
          <w:b w:val="0"/>
          <w:bCs/>
          <w:color w:val="000000"/>
          <w:kern w:val="2"/>
          <w:szCs w:val="28"/>
          <w:lang w:eastAsia="zh-CN"/>
        </w:rPr>
        <w:fldChar w:fldCharType="end"/>
      </w:r>
    </w:p>
    <w:p w14:paraId="77ECE6A9">
      <w:pPr>
        <w:pStyle w:val="20"/>
        <w:tabs>
          <w:tab w:val="right" w:leader="dot" w:pos="9070"/>
        </w:tabs>
        <w:rPr>
          <w:rFonts w:hint="eastAsia" w:ascii="宋体" w:hAnsi="宋体" w:eastAsia="宋体" w:cs="宋体"/>
          <w:b w:val="0"/>
          <w:bCs/>
          <w:color w:val="000000"/>
          <w:kern w:val="2"/>
          <w:szCs w:val="28"/>
          <w:lang w:eastAsia="zh-CN"/>
        </w:rPr>
      </w:pPr>
      <w:r>
        <w:rPr>
          <w:rFonts w:hint="eastAsia" w:ascii="宋体" w:hAnsi="宋体" w:eastAsia="宋体" w:cs="宋体"/>
          <w:b w:val="0"/>
          <w:bCs/>
          <w:color w:val="000000"/>
          <w:kern w:val="2"/>
          <w:szCs w:val="28"/>
          <w:lang w:eastAsia="zh-CN"/>
        </w:rPr>
        <w:t>3.5安全生产管理</w:t>
      </w:r>
      <w:r>
        <w:rPr>
          <w:rFonts w:hint="eastAsia" w:ascii="宋体" w:hAnsi="宋体" w:eastAsia="宋体" w:cs="宋体"/>
          <w:b w:val="0"/>
          <w:bCs/>
          <w:color w:val="000000"/>
          <w:kern w:val="2"/>
          <w:szCs w:val="28"/>
          <w:lang w:eastAsia="zh-CN"/>
        </w:rPr>
        <w:tab/>
      </w:r>
      <w:r>
        <w:rPr>
          <w:rFonts w:hint="eastAsia" w:ascii="宋体" w:hAnsi="宋体" w:eastAsia="宋体" w:cs="宋体"/>
          <w:b w:val="0"/>
          <w:bCs/>
          <w:color w:val="000000"/>
          <w:kern w:val="2"/>
          <w:szCs w:val="28"/>
          <w:lang w:eastAsia="zh-CN"/>
        </w:rPr>
        <w:fldChar w:fldCharType="begin"/>
      </w:r>
      <w:r>
        <w:rPr>
          <w:rFonts w:hint="eastAsia" w:ascii="宋体" w:hAnsi="宋体" w:eastAsia="宋体" w:cs="宋体"/>
          <w:b w:val="0"/>
          <w:bCs/>
          <w:color w:val="000000"/>
          <w:kern w:val="2"/>
          <w:szCs w:val="28"/>
          <w:lang w:eastAsia="zh-CN"/>
        </w:rPr>
        <w:instrText xml:space="preserve"> PAGEREF _Toc1340 \h </w:instrText>
      </w:r>
      <w:r>
        <w:rPr>
          <w:rFonts w:hint="eastAsia" w:ascii="宋体" w:hAnsi="宋体" w:eastAsia="宋体" w:cs="宋体"/>
          <w:b w:val="0"/>
          <w:bCs/>
          <w:color w:val="000000"/>
          <w:kern w:val="2"/>
          <w:szCs w:val="28"/>
          <w:lang w:eastAsia="zh-CN"/>
        </w:rPr>
        <w:fldChar w:fldCharType="separate"/>
      </w:r>
      <w:r>
        <w:rPr>
          <w:rFonts w:hint="eastAsia" w:ascii="宋体" w:hAnsi="宋体" w:eastAsia="宋体" w:cs="宋体"/>
          <w:b w:val="0"/>
          <w:bCs/>
          <w:color w:val="000000"/>
          <w:kern w:val="2"/>
          <w:szCs w:val="28"/>
          <w:lang w:eastAsia="zh-CN"/>
        </w:rPr>
        <w:t>17</w:t>
      </w:r>
      <w:r>
        <w:rPr>
          <w:rFonts w:hint="eastAsia" w:ascii="宋体" w:hAnsi="宋体" w:eastAsia="宋体" w:cs="宋体"/>
          <w:b w:val="0"/>
          <w:bCs/>
          <w:color w:val="000000"/>
          <w:kern w:val="2"/>
          <w:szCs w:val="28"/>
          <w:lang w:eastAsia="zh-CN"/>
        </w:rPr>
        <w:fldChar w:fldCharType="end"/>
      </w:r>
    </w:p>
    <w:p w14:paraId="56981F02">
      <w:pPr>
        <w:pStyle w:val="20"/>
        <w:tabs>
          <w:tab w:val="right" w:leader="dot" w:pos="9070"/>
        </w:tabs>
        <w:rPr>
          <w:b w:val="0"/>
          <w:bCs/>
        </w:rPr>
      </w:pPr>
      <w:r>
        <w:rPr>
          <w:rFonts w:hint="eastAsia" w:ascii="宋体" w:hAnsi="宋体" w:eastAsia="宋体" w:cs="宋体"/>
          <w:b w:val="0"/>
          <w:bCs/>
          <w:color w:val="000000"/>
          <w:kern w:val="2"/>
          <w:szCs w:val="28"/>
          <w:lang w:eastAsia="zh-CN"/>
        </w:rPr>
        <w:t>3.6现有环境风险防范与应急措施</w:t>
      </w:r>
      <w:r>
        <w:rPr>
          <w:b w:val="0"/>
          <w:bCs/>
        </w:rPr>
        <w:tab/>
      </w:r>
      <w:r>
        <w:rPr>
          <w:b w:val="0"/>
          <w:bCs/>
        </w:rPr>
        <w:fldChar w:fldCharType="begin"/>
      </w:r>
      <w:r>
        <w:rPr>
          <w:b w:val="0"/>
          <w:bCs/>
        </w:rPr>
        <w:instrText xml:space="preserve"> PAGEREF _Toc29469 \h </w:instrText>
      </w:r>
      <w:r>
        <w:rPr>
          <w:b w:val="0"/>
          <w:bCs/>
        </w:rPr>
        <w:fldChar w:fldCharType="separate"/>
      </w:r>
      <w:r>
        <w:rPr>
          <w:b w:val="0"/>
          <w:bCs/>
        </w:rPr>
        <w:t>18</w:t>
      </w:r>
      <w:r>
        <w:rPr>
          <w:b w:val="0"/>
          <w:bCs/>
        </w:rPr>
        <w:fldChar w:fldCharType="end"/>
      </w:r>
    </w:p>
    <w:p w14:paraId="427BF602">
      <w:pPr>
        <w:pStyle w:val="20"/>
        <w:tabs>
          <w:tab w:val="right" w:leader="dot" w:pos="9070"/>
        </w:tabs>
        <w:rPr>
          <w:b w:val="0"/>
          <w:bCs/>
        </w:rPr>
      </w:pPr>
      <w:r>
        <w:rPr>
          <w:rFonts w:hint="eastAsia" w:ascii="宋体" w:hAnsi="宋体" w:eastAsia="宋体" w:cs="宋体"/>
          <w:b w:val="0"/>
          <w:bCs/>
          <w:color w:val="000000"/>
          <w:kern w:val="2"/>
          <w:szCs w:val="28"/>
          <w:lang w:eastAsia="zh-CN"/>
        </w:rPr>
        <w:t>3.7现有应急物资与装备、救援队伍情况</w:t>
      </w:r>
      <w:r>
        <w:rPr>
          <w:b w:val="0"/>
          <w:bCs/>
        </w:rPr>
        <w:tab/>
      </w:r>
      <w:r>
        <w:rPr>
          <w:b w:val="0"/>
          <w:bCs/>
        </w:rPr>
        <w:fldChar w:fldCharType="begin"/>
      </w:r>
      <w:r>
        <w:rPr>
          <w:b w:val="0"/>
          <w:bCs/>
        </w:rPr>
        <w:instrText xml:space="preserve"> PAGEREF _Toc3913 \h </w:instrText>
      </w:r>
      <w:r>
        <w:rPr>
          <w:b w:val="0"/>
          <w:bCs/>
        </w:rPr>
        <w:fldChar w:fldCharType="separate"/>
      </w:r>
      <w:r>
        <w:rPr>
          <w:b w:val="0"/>
          <w:bCs/>
        </w:rPr>
        <w:t>19</w:t>
      </w:r>
      <w:r>
        <w:rPr>
          <w:b w:val="0"/>
          <w:bCs/>
        </w:rPr>
        <w:fldChar w:fldCharType="end"/>
      </w:r>
    </w:p>
    <w:p w14:paraId="121FF25E">
      <w:pPr>
        <w:pStyle w:val="19"/>
        <w:tabs>
          <w:tab w:val="right" w:leader="dot" w:pos="9070"/>
          <w:tab w:val="clear" w:pos="8296"/>
        </w:tabs>
      </w:pPr>
      <w:r>
        <w:rPr>
          <w:rFonts w:hint="eastAsia" w:ascii="宋体" w:hAnsi="宋体" w:eastAsia="宋体" w:cs="宋体"/>
          <w:color w:val="000000" w:themeColor="text1"/>
          <w:kern w:val="2"/>
          <w:szCs w:val="32"/>
          <w:highlight w:val="none"/>
          <w14:textFill>
            <w14:solidFill>
              <w14:schemeClr w14:val="tx1"/>
            </w14:solidFill>
          </w14:textFill>
        </w:rPr>
        <w:t>4突发环境事件及其后果分析</w:t>
      </w:r>
      <w:r>
        <w:tab/>
      </w:r>
      <w:r>
        <w:fldChar w:fldCharType="begin"/>
      </w:r>
      <w:r>
        <w:instrText xml:space="preserve"> PAGEREF _Toc27463 \h </w:instrText>
      </w:r>
      <w:r>
        <w:fldChar w:fldCharType="separate"/>
      </w:r>
      <w:r>
        <w:t>22</w:t>
      </w:r>
      <w:r>
        <w:fldChar w:fldCharType="end"/>
      </w:r>
    </w:p>
    <w:p w14:paraId="7670C6E8">
      <w:pPr>
        <w:pStyle w:val="20"/>
        <w:tabs>
          <w:tab w:val="right" w:leader="dot" w:pos="9070"/>
        </w:tabs>
      </w:pPr>
      <w:r>
        <w:rPr>
          <w:rFonts w:hint="eastAsia" w:ascii="宋体" w:hAnsi="宋体" w:eastAsia="宋体" w:cs="宋体"/>
          <w:bCs/>
          <w:color w:val="000000" w:themeColor="text1"/>
          <w:kern w:val="2"/>
          <w:szCs w:val="28"/>
          <w:lang w:val="en-US" w:eastAsia="zh-CN"/>
          <w14:textFill>
            <w14:solidFill>
              <w14:schemeClr w14:val="tx1"/>
            </w14:solidFill>
          </w14:textFill>
        </w:rPr>
        <w:t>4.1突发环境事件情景分析</w:t>
      </w:r>
      <w:r>
        <w:tab/>
      </w:r>
      <w:r>
        <w:fldChar w:fldCharType="begin"/>
      </w:r>
      <w:r>
        <w:instrText xml:space="preserve"> PAGEREF _Toc24571 \h </w:instrText>
      </w:r>
      <w:r>
        <w:fldChar w:fldCharType="separate"/>
      </w:r>
      <w:r>
        <w:t>22</w:t>
      </w:r>
      <w:r>
        <w:fldChar w:fldCharType="end"/>
      </w:r>
    </w:p>
    <w:p w14:paraId="509984DA">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4.1.1国内外同类企业相同突发环境事件资料</w:t>
      </w:r>
      <w:r>
        <w:tab/>
      </w:r>
      <w:r>
        <w:fldChar w:fldCharType="begin"/>
      </w:r>
      <w:r>
        <w:instrText xml:space="preserve"> PAGEREF _Toc22853 \h </w:instrText>
      </w:r>
      <w:r>
        <w:fldChar w:fldCharType="separate"/>
      </w:r>
      <w:r>
        <w:t>22</w:t>
      </w:r>
      <w:r>
        <w:fldChar w:fldCharType="end"/>
      </w:r>
    </w:p>
    <w:p w14:paraId="618AB749">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4.1.2</w:t>
      </w:r>
      <w:r>
        <w:rPr>
          <w:rFonts w:hint="eastAsia" w:ascii="宋体" w:hAnsi="宋体" w:eastAsia="宋体" w:cs="宋体"/>
          <w:bCs/>
          <w:color w:val="000000" w:themeColor="text1"/>
          <w:szCs w:val="28"/>
          <w:highlight w:val="none"/>
          <w14:textFill>
            <w14:solidFill>
              <w14:schemeClr w14:val="tx1"/>
            </w14:solidFill>
          </w14:textFill>
        </w:rPr>
        <w:t>本企业可能发生的突发环境事件情景分析</w:t>
      </w:r>
      <w:r>
        <w:tab/>
      </w:r>
      <w:r>
        <w:fldChar w:fldCharType="begin"/>
      </w:r>
      <w:r>
        <w:instrText xml:space="preserve"> PAGEREF _Toc21218 \h </w:instrText>
      </w:r>
      <w:r>
        <w:fldChar w:fldCharType="separate"/>
      </w:r>
      <w:r>
        <w:t>24</w:t>
      </w:r>
      <w:r>
        <w:fldChar w:fldCharType="end"/>
      </w:r>
    </w:p>
    <w:p w14:paraId="5CE9D342">
      <w:pPr>
        <w:pStyle w:val="20"/>
        <w:tabs>
          <w:tab w:val="right" w:leader="dot" w:pos="9070"/>
        </w:tabs>
      </w:pPr>
      <w:r>
        <w:rPr>
          <w:rFonts w:hint="eastAsia" w:ascii="宋体" w:hAnsi="宋体" w:eastAsia="宋体" w:cs="宋体"/>
          <w:bCs/>
          <w:color w:val="000000"/>
          <w:kern w:val="2"/>
          <w:szCs w:val="28"/>
          <w:lang w:val="en-US" w:eastAsia="zh-CN"/>
        </w:rPr>
        <w:t>4.2突发环境事件情景源强分析</w:t>
      </w:r>
      <w:r>
        <w:tab/>
      </w:r>
      <w:r>
        <w:fldChar w:fldCharType="begin"/>
      </w:r>
      <w:r>
        <w:instrText xml:space="preserve"> PAGEREF _Toc12939 \h </w:instrText>
      </w:r>
      <w:r>
        <w:fldChar w:fldCharType="separate"/>
      </w:r>
      <w:r>
        <w:t>24</w:t>
      </w:r>
      <w:r>
        <w:fldChar w:fldCharType="end"/>
      </w:r>
    </w:p>
    <w:p w14:paraId="5020BE22">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4.2.1</w:t>
      </w:r>
      <w:r>
        <w:rPr>
          <w:rFonts w:hint="eastAsia" w:ascii="宋体" w:hAnsi="宋体" w:cs="仿宋"/>
          <w:bCs w:val="0"/>
          <w:color w:val="000000" w:themeColor="text1"/>
          <w:szCs w:val="28"/>
          <w:lang w:eastAsia="zh-CN"/>
          <w14:textFill>
            <w14:solidFill>
              <w14:schemeClr w14:val="tx1"/>
            </w14:solidFill>
          </w14:textFill>
        </w:rPr>
        <w:t>火灾、爆炸</w:t>
      </w:r>
      <w:r>
        <w:tab/>
      </w:r>
      <w:r>
        <w:fldChar w:fldCharType="begin"/>
      </w:r>
      <w:r>
        <w:instrText xml:space="preserve"> PAGEREF _Toc30527 \h </w:instrText>
      </w:r>
      <w:r>
        <w:fldChar w:fldCharType="separate"/>
      </w:r>
      <w:r>
        <w:t>24</w:t>
      </w:r>
      <w:r>
        <w:fldChar w:fldCharType="end"/>
      </w:r>
    </w:p>
    <w:p w14:paraId="4CE87BC2">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4.2.2</w:t>
      </w:r>
      <w:r>
        <w:rPr>
          <w:rFonts w:hint="eastAsia" w:ascii="宋体" w:hAnsi="宋体" w:cs="仿宋"/>
          <w:bCs w:val="0"/>
          <w:color w:val="000000" w:themeColor="text1"/>
          <w:szCs w:val="28"/>
          <w14:textFill>
            <w14:solidFill>
              <w14:schemeClr w14:val="tx1"/>
            </w14:solidFill>
          </w14:textFill>
        </w:rPr>
        <w:t>危险废物污染事故</w:t>
      </w:r>
      <w:r>
        <w:tab/>
      </w:r>
      <w:r>
        <w:fldChar w:fldCharType="begin"/>
      </w:r>
      <w:r>
        <w:instrText xml:space="preserve"> PAGEREF _Toc25226 \h </w:instrText>
      </w:r>
      <w:r>
        <w:fldChar w:fldCharType="separate"/>
      </w:r>
      <w:r>
        <w:t>25</w:t>
      </w:r>
      <w:r>
        <w:fldChar w:fldCharType="end"/>
      </w:r>
    </w:p>
    <w:p w14:paraId="65891CB6">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4.2.3</w:t>
      </w:r>
      <w:r>
        <w:rPr>
          <w:rFonts w:hint="eastAsia" w:ascii="宋体" w:hAnsi="宋体" w:cs="仿宋"/>
          <w:bCs w:val="0"/>
          <w:color w:val="000000" w:themeColor="text1"/>
          <w:szCs w:val="28"/>
          <w:lang w:eastAsia="zh-CN"/>
          <w14:textFill>
            <w14:solidFill>
              <w14:schemeClr w14:val="tx1"/>
            </w14:solidFill>
          </w14:textFill>
        </w:rPr>
        <w:t>废气排放和废水泄漏</w:t>
      </w:r>
      <w:r>
        <w:tab/>
      </w:r>
      <w:r>
        <w:fldChar w:fldCharType="begin"/>
      </w:r>
      <w:r>
        <w:instrText xml:space="preserve"> PAGEREF _Toc1834 \h </w:instrText>
      </w:r>
      <w:r>
        <w:fldChar w:fldCharType="separate"/>
      </w:r>
      <w:r>
        <w:t>25</w:t>
      </w:r>
      <w:r>
        <w:fldChar w:fldCharType="end"/>
      </w:r>
    </w:p>
    <w:p w14:paraId="68C7F0E4">
      <w:pPr>
        <w:pStyle w:val="20"/>
        <w:tabs>
          <w:tab w:val="right" w:leader="dot" w:pos="9070"/>
        </w:tabs>
      </w:pPr>
      <w:r>
        <w:rPr>
          <w:rFonts w:hint="eastAsia" w:ascii="宋体" w:hAnsi="宋体" w:eastAsia="宋体" w:cs="宋体"/>
          <w:bCs/>
          <w:color w:val="000000"/>
          <w:kern w:val="2"/>
          <w:szCs w:val="28"/>
          <w:lang w:val="en-US" w:eastAsia="zh-CN"/>
        </w:rPr>
        <w:t>4.3</w:t>
      </w:r>
      <w:r>
        <w:rPr>
          <w:rFonts w:hint="eastAsia" w:ascii="宋体" w:hAnsi="宋体" w:cs="仿宋"/>
          <w:bCs/>
          <w:color w:val="000000" w:themeColor="text1"/>
          <w:kern w:val="32"/>
          <w:szCs w:val="28"/>
          <w:lang w:val="en-US" w:eastAsia="zh-CN" w:bidi="en-US"/>
          <w14:textFill>
            <w14:solidFill>
              <w14:schemeClr w14:val="tx1"/>
            </w14:solidFill>
          </w14:textFill>
        </w:rPr>
        <w:t>释放环境风险物质的扩散途径、涉及环境风险防控与应急措施、应急资源情况分析</w:t>
      </w:r>
      <w:r>
        <w:tab/>
      </w:r>
      <w:r>
        <w:fldChar w:fldCharType="begin"/>
      </w:r>
      <w:r>
        <w:instrText xml:space="preserve"> PAGEREF _Toc28084 \h </w:instrText>
      </w:r>
      <w:r>
        <w:fldChar w:fldCharType="separate"/>
      </w:r>
      <w:r>
        <w:t>25</w:t>
      </w:r>
      <w:r>
        <w:fldChar w:fldCharType="end"/>
      </w:r>
    </w:p>
    <w:p w14:paraId="081FE120">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4.3.1</w:t>
      </w:r>
      <w:r>
        <w:rPr>
          <w:rFonts w:hint="eastAsia" w:ascii="宋体" w:hAnsi="宋体" w:eastAsia="宋体" w:cs="仿宋"/>
          <w:bCs w:val="0"/>
          <w:color w:val="000000" w:themeColor="text1"/>
          <w:szCs w:val="28"/>
          <w:lang w:eastAsia="zh-CN"/>
          <w14:textFill>
            <w14:solidFill>
              <w14:schemeClr w14:val="tx1"/>
            </w14:solidFill>
          </w14:textFill>
        </w:rPr>
        <w:t>释放环境风险物质的扩散途径</w:t>
      </w:r>
      <w:r>
        <w:tab/>
      </w:r>
      <w:r>
        <w:fldChar w:fldCharType="begin"/>
      </w:r>
      <w:r>
        <w:instrText xml:space="preserve"> PAGEREF _Toc25857 \h </w:instrText>
      </w:r>
      <w:r>
        <w:fldChar w:fldCharType="separate"/>
      </w:r>
      <w:r>
        <w:t>26</w:t>
      </w:r>
      <w:r>
        <w:fldChar w:fldCharType="end"/>
      </w:r>
    </w:p>
    <w:p w14:paraId="358D22FF">
      <w:pPr>
        <w:pStyle w:val="15"/>
        <w:tabs>
          <w:tab w:val="right" w:leader="dot" w:pos="9070"/>
        </w:tabs>
      </w:pPr>
      <w:r>
        <w:rPr>
          <w:rFonts w:hint="eastAsia" w:ascii="宋体" w:hAnsi="宋体" w:eastAsia="宋体" w:cs="Times New Roman"/>
          <w:bCs/>
          <w:color w:val="000000" w:themeColor="text1"/>
          <w:szCs w:val="28"/>
          <w:lang w:val="en-US" w:eastAsia="zh-CN"/>
          <w14:textFill>
            <w14:solidFill>
              <w14:schemeClr w14:val="tx1"/>
            </w14:solidFill>
          </w14:textFill>
        </w:rPr>
        <w:t>4.3.2</w:t>
      </w:r>
      <w:r>
        <w:rPr>
          <w:rFonts w:hint="eastAsia" w:ascii="宋体" w:hAnsi="宋体" w:eastAsia="宋体" w:cs="仿宋"/>
          <w:bCs w:val="0"/>
          <w:color w:val="000000" w:themeColor="text1"/>
          <w:szCs w:val="28"/>
          <w:lang w:eastAsia="zh-CN"/>
          <w14:textFill>
            <w14:solidFill>
              <w14:schemeClr w14:val="tx1"/>
            </w14:solidFill>
          </w14:textFill>
        </w:rPr>
        <w:t>风险防控措施</w:t>
      </w:r>
      <w:r>
        <w:tab/>
      </w:r>
      <w:r>
        <w:fldChar w:fldCharType="begin"/>
      </w:r>
      <w:r>
        <w:instrText xml:space="preserve"> PAGEREF _Toc17866 \h </w:instrText>
      </w:r>
      <w:r>
        <w:fldChar w:fldCharType="separate"/>
      </w:r>
      <w:r>
        <w:t>26</w:t>
      </w:r>
      <w:r>
        <w:fldChar w:fldCharType="end"/>
      </w:r>
    </w:p>
    <w:p w14:paraId="1246EEEE">
      <w:pPr>
        <w:pStyle w:val="20"/>
        <w:tabs>
          <w:tab w:val="right" w:leader="dot" w:pos="9070"/>
        </w:tabs>
      </w:pPr>
      <w:r>
        <w:rPr>
          <w:rFonts w:hint="eastAsia" w:ascii="宋体" w:hAnsi="宋体" w:cs="仿宋"/>
          <w:color w:val="000000" w:themeColor="text1"/>
          <w:szCs w:val="28"/>
          <w:lang w:val="en-US" w:eastAsia="zh-CN"/>
          <w14:textFill>
            <w14:solidFill>
              <w14:schemeClr w14:val="tx1"/>
            </w14:solidFill>
          </w14:textFill>
        </w:rPr>
        <w:t>4</w:t>
      </w:r>
      <w:r>
        <w:rPr>
          <w:rFonts w:hint="eastAsia" w:ascii="宋体" w:hAnsi="宋体" w:cs="仿宋"/>
          <w:color w:val="000000" w:themeColor="text1"/>
          <w:szCs w:val="28"/>
          <w:lang w:eastAsia="zh-CN"/>
          <w14:textFill>
            <w14:solidFill>
              <w14:schemeClr w14:val="tx1"/>
            </w14:solidFill>
          </w14:textFill>
        </w:rPr>
        <w:t>.4突发环境事件危害后果分析</w:t>
      </w:r>
      <w:r>
        <w:tab/>
      </w:r>
      <w:r>
        <w:fldChar w:fldCharType="begin"/>
      </w:r>
      <w:r>
        <w:instrText xml:space="preserve"> PAGEREF _Toc14611 \h </w:instrText>
      </w:r>
      <w:r>
        <w:fldChar w:fldCharType="separate"/>
      </w:r>
      <w:r>
        <w:t>27</w:t>
      </w:r>
      <w:r>
        <w:fldChar w:fldCharType="end"/>
      </w:r>
    </w:p>
    <w:p w14:paraId="12D47E1A">
      <w:pPr>
        <w:pStyle w:val="15"/>
        <w:tabs>
          <w:tab w:val="right" w:leader="dot" w:pos="9070"/>
        </w:tabs>
      </w:pPr>
      <w:r>
        <w:rPr>
          <w:rFonts w:hint="eastAsia" w:ascii="宋体" w:hAnsi="宋体" w:cs="仿宋"/>
          <w:bCs w:val="0"/>
          <w:color w:val="000000" w:themeColor="text1"/>
          <w:szCs w:val="28"/>
          <w:lang w:val="en-US" w:eastAsia="zh-CN"/>
          <w14:textFill>
            <w14:solidFill>
              <w14:schemeClr w14:val="tx1"/>
            </w14:solidFill>
          </w14:textFill>
        </w:rPr>
        <w:t>4</w:t>
      </w:r>
      <w:r>
        <w:rPr>
          <w:rFonts w:hint="eastAsia" w:ascii="宋体" w:hAnsi="宋体" w:cs="仿宋"/>
          <w:bCs w:val="0"/>
          <w:color w:val="000000" w:themeColor="text1"/>
          <w:szCs w:val="28"/>
          <w14:textFill>
            <w14:solidFill>
              <w14:schemeClr w14:val="tx1"/>
            </w14:solidFill>
          </w14:textFill>
        </w:rPr>
        <w:t>.4.1</w:t>
      </w:r>
      <w:r>
        <w:rPr>
          <w:rFonts w:hint="eastAsia" w:ascii="宋体" w:hAnsi="宋体" w:cs="仿宋"/>
          <w:bCs w:val="0"/>
          <w:color w:val="000000" w:themeColor="text1"/>
          <w:szCs w:val="28"/>
          <w:lang w:val="en-US" w:eastAsia="zh-CN"/>
          <w14:textFill>
            <w14:solidFill>
              <w14:schemeClr w14:val="tx1"/>
            </w14:solidFill>
          </w14:textFill>
        </w:rPr>
        <w:t xml:space="preserve"> 废气处理</w:t>
      </w:r>
      <w:r>
        <w:rPr>
          <w:rFonts w:hint="eastAsia" w:ascii="宋体" w:hAnsi="宋体" w:eastAsia="宋体" w:cs="仿宋"/>
          <w:bCs w:val="0"/>
          <w:color w:val="000000" w:themeColor="text1"/>
          <w:szCs w:val="28"/>
          <w:lang w:val="en-US" w:eastAsia="zh-CN"/>
          <w14:textFill>
            <w14:solidFill>
              <w14:schemeClr w14:val="tx1"/>
            </w14:solidFill>
          </w14:textFill>
        </w:rPr>
        <w:t>装置</w:t>
      </w:r>
      <w:r>
        <w:rPr>
          <w:rFonts w:hint="eastAsia" w:ascii="宋体" w:hAnsi="宋体" w:eastAsia="宋体" w:cs="仿宋"/>
          <w:bCs w:val="0"/>
          <w:color w:val="000000" w:themeColor="text1"/>
          <w:szCs w:val="28"/>
          <w14:textFill>
            <w14:solidFill>
              <w14:schemeClr w14:val="tx1"/>
            </w14:solidFill>
          </w14:textFill>
        </w:rPr>
        <w:t>故障</w:t>
      </w:r>
      <w:r>
        <w:rPr>
          <w:rFonts w:hint="eastAsia" w:ascii="宋体" w:hAnsi="宋体" w:cs="仿宋"/>
          <w:bCs w:val="0"/>
          <w:color w:val="000000" w:themeColor="text1"/>
          <w:szCs w:val="28"/>
          <w:lang w:val="en-US" w:eastAsia="zh-CN"/>
          <w14:textFill>
            <w14:solidFill>
              <w14:schemeClr w14:val="tx1"/>
            </w14:solidFill>
          </w14:textFill>
        </w:rPr>
        <w:t>导致废气</w:t>
      </w:r>
      <w:r>
        <w:rPr>
          <w:rFonts w:hint="eastAsia" w:ascii="宋体" w:hAnsi="宋体" w:cs="仿宋"/>
          <w:bCs w:val="0"/>
          <w:color w:val="000000" w:themeColor="text1"/>
          <w:szCs w:val="28"/>
          <w14:textFill>
            <w14:solidFill>
              <w14:schemeClr w14:val="tx1"/>
            </w14:solidFill>
          </w14:textFill>
        </w:rPr>
        <w:t>超标排放危害后果分析</w:t>
      </w:r>
      <w:r>
        <w:tab/>
      </w:r>
      <w:r>
        <w:fldChar w:fldCharType="begin"/>
      </w:r>
      <w:r>
        <w:instrText xml:space="preserve"> PAGEREF _Toc8506 \h </w:instrText>
      </w:r>
      <w:r>
        <w:fldChar w:fldCharType="separate"/>
      </w:r>
      <w:r>
        <w:t>27</w:t>
      </w:r>
      <w:r>
        <w:fldChar w:fldCharType="end"/>
      </w:r>
    </w:p>
    <w:p w14:paraId="2F000EEB">
      <w:pPr>
        <w:pStyle w:val="15"/>
        <w:tabs>
          <w:tab w:val="right" w:leader="dot" w:pos="9070"/>
        </w:tabs>
      </w:pPr>
      <w:r>
        <w:rPr>
          <w:rFonts w:hint="eastAsia" w:ascii="宋体" w:hAnsi="宋体" w:cs="仿宋"/>
          <w:bCs w:val="0"/>
          <w:color w:val="000000" w:themeColor="text1"/>
          <w:szCs w:val="28"/>
          <w:lang w:val="en-US" w:eastAsia="zh-CN"/>
          <w14:textFill>
            <w14:solidFill>
              <w14:schemeClr w14:val="tx1"/>
            </w14:solidFill>
          </w14:textFill>
        </w:rPr>
        <w:t>4</w:t>
      </w:r>
      <w:r>
        <w:rPr>
          <w:rFonts w:hint="eastAsia" w:ascii="宋体" w:hAnsi="宋体" w:cs="仿宋"/>
          <w:bCs w:val="0"/>
          <w:color w:val="000000" w:themeColor="text1"/>
          <w:szCs w:val="28"/>
          <w14:textFill>
            <w14:solidFill>
              <w14:schemeClr w14:val="tx1"/>
            </w14:solidFill>
          </w14:textFill>
        </w:rPr>
        <w:t>.4.</w:t>
      </w:r>
      <w:r>
        <w:rPr>
          <w:rFonts w:hint="eastAsia" w:ascii="宋体" w:hAnsi="宋体" w:cs="仿宋"/>
          <w:bCs w:val="0"/>
          <w:color w:val="000000" w:themeColor="text1"/>
          <w:szCs w:val="28"/>
          <w:lang w:val="en-US" w:eastAsia="zh-CN"/>
          <w14:textFill>
            <w14:solidFill>
              <w14:schemeClr w14:val="tx1"/>
            </w14:solidFill>
          </w14:textFill>
        </w:rPr>
        <w:t>2</w:t>
      </w:r>
      <w:r>
        <w:rPr>
          <w:rFonts w:hint="eastAsia" w:ascii="宋体" w:hAnsi="宋体" w:cs="仿宋"/>
          <w:bCs w:val="0"/>
          <w:color w:val="000000" w:themeColor="text1"/>
          <w:szCs w:val="28"/>
          <w14:textFill>
            <w14:solidFill>
              <w14:schemeClr w14:val="tx1"/>
            </w14:solidFill>
          </w14:textFill>
        </w:rPr>
        <w:t>危险废物污染事故危险后果分析</w:t>
      </w:r>
      <w:r>
        <w:tab/>
      </w:r>
      <w:r>
        <w:fldChar w:fldCharType="begin"/>
      </w:r>
      <w:r>
        <w:instrText xml:space="preserve"> PAGEREF _Toc23018 \h </w:instrText>
      </w:r>
      <w:r>
        <w:fldChar w:fldCharType="separate"/>
      </w:r>
      <w:r>
        <w:t>28</w:t>
      </w:r>
      <w:r>
        <w:fldChar w:fldCharType="end"/>
      </w:r>
    </w:p>
    <w:p w14:paraId="5410CFBD">
      <w:pPr>
        <w:pStyle w:val="15"/>
        <w:tabs>
          <w:tab w:val="right" w:leader="dot" w:pos="9070"/>
        </w:tabs>
      </w:pPr>
      <w:r>
        <w:rPr>
          <w:rFonts w:hint="eastAsia" w:ascii="宋体" w:hAnsi="宋体" w:cs="仿宋"/>
          <w:bCs w:val="0"/>
          <w:color w:val="000000" w:themeColor="text1"/>
          <w:szCs w:val="28"/>
          <w:lang w:val="en-US" w:eastAsia="zh-CN"/>
          <w14:textFill>
            <w14:solidFill>
              <w14:schemeClr w14:val="tx1"/>
            </w14:solidFill>
          </w14:textFill>
        </w:rPr>
        <w:t>4</w:t>
      </w:r>
      <w:r>
        <w:rPr>
          <w:rFonts w:hint="eastAsia" w:ascii="宋体" w:hAnsi="宋体" w:cs="仿宋"/>
          <w:bCs w:val="0"/>
          <w:color w:val="000000" w:themeColor="text1"/>
          <w:szCs w:val="28"/>
          <w14:textFill>
            <w14:solidFill>
              <w14:schemeClr w14:val="tx1"/>
            </w14:solidFill>
          </w14:textFill>
        </w:rPr>
        <w:t>.</w:t>
      </w:r>
      <w:r>
        <w:rPr>
          <w:rFonts w:hint="eastAsia" w:ascii="宋体" w:hAnsi="宋体" w:cs="仿宋"/>
          <w:bCs w:val="0"/>
          <w:color w:val="000000" w:themeColor="text1"/>
          <w:szCs w:val="28"/>
          <w:lang w:val="en-US" w:eastAsia="zh-CN"/>
          <w14:textFill>
            <w14:solidFill>
              <w14:schemeClr w14:val="tx1"/>
            </w14:solidFill>
          </w14:textFill>
        </w:rPr>
        <w:t>4</w:t>
      </w:r>
      <w:r>
        <w:rPr>
          <w:rFonts w:hint="eastAsia" w:ascii="宋体" w:hAnsi="宋体" w:cs="仿宋"/>
          <w:bCs w:val="0"/>
          <w:color w:val="000000" w:themeColor="text1"/>
          <w:szCs w:val="28"/>
          <w14:textFill>
            <w14:solidFill>
              <w14:schemeClr w14:val="tx1"/>
            </w14:solidFill>
          </w14:textFill>
        </w:rPr>
        <w:t>.</w:t>
      </w:r>
      <w:r>
        <w:rPr>
          <w:rFonts w:hint="eastAsia" w:ascii="宋体" w:hAnsi="宋体" w:cs="仿宋"/>
          <w:bCs w:val="0"/>
          <w:color w:val="000000" w:themeColor="text1"/>
          <w:szCs w:val="28"/>
          <w:lang w:val="en-US" w:eastAsia="zh-CN"/>
          <w14:textFill>
            <w14:solidFill>
              <w14:schemeClr w14:val="tx1"/>
            </w14:solidFill>
          </w14:textFill>
        </w:rPr>
        <w:t>3</w:t>
      </w:r>
      <w:r>
        <w:rPr>
          <w:rFonts w:hint="eastAsia" w:ascii="宋体" w:hAnsi="宋体" w:cs="仿宋"/>
          <w:bCs w:val="0"/>
          <w:color w:val="000000" w:themeColor="text1"/>
          <w:szCs w:val="28"/>
          <w:lang w:eastAsia="zh-CN"/>
          <w14:textFill>
            <w14:solidFill>
              <w14:schemeClr w14:val="tx1"/>
            </w14:solidFill>
          </w14:textFill>
        </w:rPr>
        <w:t>火灾、爆炸</w:t>
      </w:r>
      <w:r>
        <w:tab/>
      </w:r>
      <w:r>
        <w:fldChar w:fldCharType="begin"/>
      </w:r>
      <w:r>
        <w:instrText xml:space="preserve"> PAGEREF _Toc30432 \h </w:instrText>
      </w:r>
      <w:r>
        <w:fldChar w:fldCharType="separate"/>
      </w:r>
      <w:r>
        <w:t>28</w:t>
      </w:r>
      <w:r>
        <w:fldChar w:fldCharType="end"/>
      </w:r>
    </w:p>
    <w:p w14:paraId="75FF6B8A">
      <w:pPr>
        <w:pStyle w:val="19"/>
        <w:tabs>
          <w:tab w:val="right" w:leader="dot" w:pos="9070"/>
          <w:tab w:val="clear" w:pos="8296"/>
        </w:tabs>
      </w:pPr>
      <w:r>
        <w:rPr>
          <w:rFonts w:hint="eastAsia" w:ascii="宋体" w:hAnsi="宋体" w:cs="仿宋"/>
          <w:color w:val="000000" w:themeColor="text1"/>
          <w:szCs w:val="30"/>
          <w:lang w:val="en-US" w:eastAsia="zh-CN"/>
          <w14:textFill>
            <w14:solidFill>
              <w14:schemeClr w14:val="tx1"/>
            </w14:solidFill>
          </w14:textFill>
        </w:rPr>
        <w:t>5</w:t>
      </w:r>
      <w:r>
        <w:rPr>
          <w:rFonts w:hint="eastAsia" w:ascii="宋体" w:hAnsi="宋体" w:cs="仿宋"/>
          <w:color w:val="000000" w:themeColor="text1"/>
          <w:szCs w:val="30"/>
          <w:lang w:eastAsia="zh-CN"/>
          <w14:textFill>
            <w14:solidFill>
              <w14:schemeClr w14:val="tx1"/>
            </w14:solidFill>
          </w14:textFill>
        </w:rPr>
        <w:t xml:space="preserve"> 现有环境风险防控和应急措施差距分析</w:t>
      </w:r>
      <w:r>
        <w:tab/>
      </w:r>
      <w:r>
        <w:fldChar w:fldCharType="begin"/>
      </w:r>
      <w:r>
        <w:instrText xml:space="preserve"> PAGEREF _Toc15263 \h </w:instrText>
      </w:r>
      <w:r>
        <w:fldChar w:fldCharType="separate"/>
      </w:r>
      <w:r>
        <w:t>28</w:t>
      </w:r>
      <w:r>
        <w:fldChar w:fldCharType="end"/>
      </w:r>
    </w:p>
    <w:p w14:paraId="3F82E72F">
      <w:pPr>
        <w:pStyle w:val="20"/>
        <w:tabs>
          <w:tab w:val="right" w:leader="dot" w:pos="9070"/>
        </w:tabs>
      </w:pPr>
      <w:r>
        <w:rPr>
          <w:rFonts w:hint="eastAsia" w:ascii="宋体" w:hAnsi="宋体" w:cs="仿宋"/>
          <w:color w:val="000000" w:themeColor="text1"/>
          <w:szCs w:val="28"/>
          <w:lang w:val="en-US" w:eastAsia="zh-CN"/>
          <w14:textFill>
            <w14:solidFill>
              <w14:schemeClr w14:val="tx1"/>
            </w14:solidFill>
          </w14:textFill>
        </w:rPr>
        <w:t>5</w:t>
      </w:r>
      <w:r>
        <w:rPr>
          <w:rFonts w:hint="eastAsia" w:ascii="宋体" w:hAnsi="宋体" w:cs="仿宋"/>
          <w:color w:val="000000" w:themeColor="text1"/>
          <w:szCs w:val="28"/>
          <w14:textFill>
            <w14:solidFill>
              <w14:schemeClr w14:val="tx1"/>
            </w14:solidFill>
          </w14:textFill>
        </w:rPr>
        <w:t>.1环境风险管理制度</w:t>
      </w:r>
      <w:r>
        <w:tab/>
      </w:r>
      <w:r>
        <w:fldChar w:fldCharType="begin"/>
      </w:r>
      <w:r>
        <w:instrText xml:space="preserve"> PAGEREF _Toc2155 \h </w:instrText>
      </w:r>
      <w:r>
        <w:fldChar w:fldCharType="separate"/>
      </w:r>
      <w:r>
        <w:t>28</w:t>
      </w:r>
      <w:r>
        <w:fldChar w:fldCharType="end"/>
      </w:r>
    </w:p>
    <w:p w14:paraId="4105994A">
      <w:pPr>
        <w:pStyle w:val="20"/>
        <w:tabs>
          <w:tab w:val="right" w:leader="dot" w:pos="9070"/>
        </w:tabs>
      </w:pPr>
      <w:r>
        <w:rPr>
          <w:rFonts w:hint="eastAsia" w:ascii="宋体" w:hAnsi="宋体" w:cs="仿宋"/>
          <w:color w:val="000000" w:themeColor="text1"/>
          <w:szCs w:val="28"/>
          <w:lang w:val="en-US" w:eastAsia="zh-CN"/>
          <w14:textFill>
            <w14:solidFill>
              <w14:schemeClr w14:val="tx1"/>
            </w14:solidFill>
          </w14:textFill>
        </w:rPr>
        <w:t>5</w:t>
      </w:r>
      <w:r>
        <w:rPr>
          <w:rFonts w:hint="eastAsia" w:ascii="宋体" w:hAnsi="宋体" w:cs="仿宋"/>
          <w:color w:val="000000" w:themeColor="text1"/>
          <w:szCs w:val="28"/>
          <w14:textFill>
            <w14:solidFill>
              <w14:schemeClr w14:val="tx1"/>
            </w14:solidFill>
          </w14:textFill>
        </w:rPr>
        <w:t>.2环境风险防控与应急措施</w:t>
      </w:r>
      <w:r>
        <w:tab/>
      </w:r>
      <w:r>
        <w:fldChar w:fldCharType="begin"/>
      </w:r>
      <w:r>
        <w:instrText xml:space="preserve"> PAGEREF _Toc18208 \h </w:instrText>
      </w:r>
      <w:r>
        <w:fldChar w:fldCharType="separate"/>
      </w:r>
      <w:r>
        <w:t>28</w:t>
      </w:r>
      <w:r>
        <w:fldChar w:fldCharType="end"/>
      </w:r>
    </w:p>
    <w:p w14:paraId="79B6111E">
      <w:pPr>
        <w:pStyle w:val="20"/>
        <w:tabs>
          <w:tab w:val="right" w:leader="dot" w:pos="9070"/>
        </w:tabs>
      </w:pPr>
      <w:r>
        <w:rPr>
          <w:rFonts w:hint="eastAsia" w:ascii="宋体" w:hAnsi="宋体" w:cs="仿宋"/>
          <w:color w:val="000000" w:themeColor="text1"/>
          <w:szCs w:val="28"/>
          <w:lang w:val="en-US" w:eastAsia="zh-CN"/>
          <w14:textFill>
            <w14:solidFill>
              <w14:schemeClr w14:val="tx1"/>
            </w14:solidFill>
          </w14:textFill>
        </w:rPr>
        <w:t>5</w:t>
      </w:r>
      <w:r>
        <w:rPr>
          <w:rFonts w:hint="eastAsia" w:ascii="宋体" w:hAnsi="宋体" w:cs="仿宋"/>
          <w:color w:val="000000" w:themeColor="text1"/>
          <w:szCs w:val="28"/>
          <w14:textFill>
            <w14:solidFill>
              <w14:schemeClr w14:val="tx1"/>
            </w14:solidFill>
          </w14:textFill>
        </w:rPr>
        <w:t>.3环境应急资源</w:t>
      </w:r>
      <w:r>
        <w:tab/>
      </w:r>
      <w:r>
        <w:fldChar w:fldCharType="begin"/>
      </w:r>
      <w:r>
        <w:instrText xml:space="preserve"> PAGEREF _Toc31015 \h </w:instrText>
      </w:r>
      <w:r>
        <w:fldChar w:fldCharType="separate"/>
      </w:r>
      <w:r>
        <w:t>30</w:t>
      </w:r>
      <w:r>
        <w:fldChar w:fldCharType="end"/>
      </w:r>
    </w:p>
    <w:p w14:paraId="77C49D5E">
      <w:pPr>
        <w:pStyle w:val="20"/>
        <w:tabs>
          <w:tab w:val="right" w:leader="dot" w:pos="9070"/>
        </w:tabs>
      </w:pPr>
      <w:r>
        <w:rPr>
          <w:rFonts w:hint="eastAsia" w:ascii="宋体" w:hAnsi="宋体" w:cs="仿宋"/>
          <w:color w:val="000000" w:themeColor="text1"/>
          <w:szCs w:val="28"/>
          <w:lang w:val="en-US" w:eastAsia="zh-CN"/>
          <w14:textFill>
            <w14:solidFill>
              <w14:schemeClr w14:val="tx1"/>
            </w14:solidFill>
          </w14:textFill>
        </w:rPr>
        <w:t>5</w:t>
      </w:r>
      <w:r>
        <w:rPr>
          <w:rFonts w:hint="eastAsia" w:ascii="宋体" w:hAnsi="宋体" w:cs="仿宋"/>
          <w:color w:val="000000" w:themeColor="text1"/>
          <w:szCs w:val="28"/>
          <w14:textFill>
            <w14:solidFill>
              <w14:schemeClr w14:val="tx1"/>
            </w14:solidFill>
          </w14:textFill>
        </w:rPr>
        <w:t>.</w:t>
      </w:r>
      <w:r>
        <w:rPr>
          <w:rFonts w:hint="eastAsia" w:ascii="宋体" w:hAnsi="宋体" w:cs="仿宋"/>
          <w:color w:val="000000" w:themeColor="text1"/>
          <w:szCs w:val="28"/>
          <w:lang w:val="en-US" w:eastAsia="zh-CN"/>
          <w14:textFill>
            <w14:solidFill>
              <w14:schemeClr w14:val="tx1"/>
            </w14:solidFill>
          </w14:textFill>
        </w:rPr>
        <w:t>4</w:t>
      </w:r>
      <w:r>
        <w:rPr>
          <w:rFonts w:hint="eastAsia" w:ascii="宋体" w:hAnsi="宋体" w:cs="仿宋"/>
          <w:color w:val="000000" w:themeColor="text1"/>
          <w:szCs w:val="28"/>
          <w14:textFill>
            <w14:solidFill>
              <w14:schemeClr w14:val="tx1"/>
            </w14:solidFill>
          </w14:textFill>
        </w:rPr>
        <w:t>需要整改的短期、中期和长期项目内容</w:t>
      </w:r>
      <w:r>
        <w:tab/>
      </w:r>
      <w:r>
        <w:fldChar w:fldCharType="begin"/>
      </w:r>
      <w:r>
        <w:instrText xml:space="preserve"> PAGEREF _Toc16464 \h </w:instrText>
      </w:r>
      <w:r>
        <w:fldChar w:fldCharType="separate"/>
      </w:r>
      <w:r>
        <w:t>30</w:t>
      </w:r>
      <w:r>
        <w:fldChar w:fldCharType="end"/>
      </w:r>
    </w:p>
    <w:p w14:paraId="2AC7D8B7">
      <w:pPr>
        <w:pStyle w:val="19"/>
        <w:tabs>
          <w:tab w:val="right" w:leader="dot" w:pos="9070"/>
          <w:tab w:val="clear" w:pos="8296"/>
        </w:tabs>
      </w:pPr>
      <w:r>
        <w:rPr>
          <w:rFonts w:hint="eastAsia" w:ascii="宋体" w:hAnsi="宋体" w:cs="仿宋"/>
          <w:color w:val="000000" w:themeColor="text1"/>
          <w:szCs w:val="32"/>
          <w:lang w:val="en-US" w:eastAsia="zh-CN"/>
          <w14:textFill>
            <w14:solidFill>
              <w14:schemeClr w14:val="tx1"/>
            </w14:solidFill>
          </w14:textFill>
        </w:rPr>
        <w:t>6</w:t>
      </w:r>
      <w:r>
        <w:rPr>
          <w:rFonts w:hint="eastAsia" w:ascii="宋体" w:hAnsi="宋体" w:cs="仿宋"/>
          <w:color w:val="000000" w:themeColor="text1"/>
          <w:szCs w:val="32"/>
          <w:lang w:eastAsia="zh-CN"/>
          <w14:textFill>
            <w14:solidFill>
              <w14:schemeClr w14:val="tx1"/>
            </w14:solidFill>
          </w14:textFill>
        </w:rPr>
        <w:t xml:space="preserve"> 完善环境风险防控与应急措施的实施计划</w:t>
      </w:r>
      <w:r>
        <w:tab/>
      </w:r>
      <w:r>
        <w:fldChar w:fldCharType="begin"/>
      </w:r>
      <w:r>
        <w:instrText xml:space="preserve"> PAGEREF _Toc7180 \h </w:instrText>
      </w:r>
      <w:r>
        <w:fldChar w:fldCharType="separate"/>
      </w:r>
      <w:r>
        <w:t>30</w:t>
      </w:r>
      <w:r>
        <w:fldChar w:fldCharType="end"/>
      </w:r>
    </w:p>
    <w:p w14:paraId="6A44C5B6">
      <w:pPr>
        <w:pStyle w:val="19"/>
        <w:tabs>
          <w:tab w:val="right" w:leader="dot" w:pos="9070"/>
          <w:tab w:val="clear" w:pos="8296"/>
        </w:tabs>
      </w:pPr>
      <w:r>
        <w:rPr>
          <w:rFonts w:hint="eastAsia" w:ascii="宋体" w:hAnsi="宋体" w:cs="仿宋"/>
          <w:color w:val="000000" w:themeColor="text1"/>
          <w:szCs w:val="30"/>
          <w:lang w:val="en-US" w:eastAsia="zh-CN"/>
          <w14:textFill>
            <w14:solidFill>
              <w14:schemeClr w14:val="tx1"/>
            </w14:solidFill>
          </w14:textFill>
        </w:rPr>
        <w:t>7</w:t>
      </w:r>
      <w:r>
        <w:rPr>
          <w:rFonts w:hint="eastAsia" w:ascii="宋体" w:hAnsi="宋体" w:cs="仿宋"/>
          <w:color w:val="000000" w:themeColor="text1"/>
          <w:szCs w:val="30"/>
          <w:lang w:eastAsia="zh-CN"/>
          <w14:textFill>
            <w14:solidFill>
              <w14:schemeClr w14:val="tx1"/>
            </w14:solidFill>
          </w14:textFill>
        </w:rPr>
        <w:t>企业突发环境事件风险等级</w:t>
      </w:r>
      <w:r>
        <w:tab/>
      </w:r>
      <w:r>
        <w:fldChar w:fldCharType="begin"/>
      </w:r>
      <w:r>
        <w:instrText xml:space="preserve"> PAGEREF _Toc23136 \h </w:instrText>
      </w:r>
      <w:r>
        <w:fldChar w:fldCharType="separate"/>
      </w:r>
      <w:r>
        <w:t>31</w:t>
      </w:r>
      <w:r>
        <w:fldChar w:fldCharType="end"/>
      </w:r>
    </w:p>
    <w:p w14:paraId="4DF3D4E1">
      <w:pPr>
        <w:pStyle w:val="20"/>
        <w:tabs>
          <w:tab w:val="right" w:leader="dot" w:pos="9070"/>
        </w:tabs>
      </w:pPr>
      <w:r>
        <w:rPr>
          <w:rFonts w:hint="eastAsia" w:ascii="宋体" w:hAnsi="宋体" w:cs="仿宋"/>
          <w:color w:val="000000" w:themeColor="text1"/>
          <w:szCs w:val="28"/>
          <w:lang w:val="en-US" w:eastAsia="zh-CN"/>
          <w14:textFill>
            <w14:solidFill>
              <w14:schemeClr w14:val="tx1"/>
            </w14:solidFill>
          </w14:textFill>
        </w:rPr>
        <w:t>7.1</w:t>
      </w:r>
      <w:r>
        <w:rPr>
          <w:rFonts w:hint="eastAsia"/>
          <w:color w:val="000000" w:themeColor="text1"/>
          <w:szCs w:val="28"/>
          <w:lang w:val="en-US" w:eastAsia="zh-CN"/>
          <w14:textFill>
            <w14:solidFill>
              <w14:schemeClr w14:val="tx1"/>
            </w14:solidFill>
          </w14:textFill>
        </w:rPr>
        <w:t>突发大气环境事件风险分级</w:t>
      </w:r>
      <w:r>
        <w:tab/>
      </w:r>
      <w:r>
        <w:fldChar w:fldCharType="begin"/>
      </w:r>
      <w:r>
        <w:instrText xml:space="preserve"> PAGEREF _Toc15162 \h </w:instrText>
      </w:r>
      <w:r>
        <w:fldChar w:fldCharType="separate"/>
      </w:r>
      <w:r>
        <w:t>32</w:t>
      </w:r>
      <w:r>
        <w:fldChar w:fldCharType="end"/>
      </w:r>
    </w:p>
    <w:p w14:paraId="68381DDD">
      <w:pPr>
        <w:pStyle w:val="15"/>
        <w:tabs>
          <w:tab w:val="right" w:leader="dot" w:pos="9070"/>
        </w:tabs>
      </w:pPr>
      <w:r>
        <w:rPr>
          <w:rFonts w:hint="eastAsia" w:ascii="宋体" w:hAnsi="宋体" w:eastAsia="宋体" w:cs="仿宋"/>
          <w:bCs/>
          <w:color w:val="000000" w:themeColor="text1"/>
          <w:kern w:val="32"/>
          <w:szCs w:val="28"/>
          <w:lang w:val="en-US" w:eastAsia="zh-CN" w:bidi="en-US"/>
          <w14:textFill>
            <w14:solidFill>
              <w14:schemeClr w14:val="tx1"/>
            </w14:solidFill>
          </w14:textFill>
        </w:rPr>
        <w:t>7.1.1</w:t>
      </w:r>
      <w:r>
        <w:rPr>
          <w:rFonts w:hint="eastAsia" w:ascii="Cambria" w:hAnsi="Cambria" w:eastAsia="宋体" w:cs="Times New Roman"/>
          <w:bCs/>
          <w:color w:val="000000" w:themeColor="text1"/>
          <w:kern w:val="32"/>
          <w:szCs w:val="28"/>
          <w:lang w:val="en-US" w:eastAsia="zh-CN" w:bidi="en-US"/>
          <w14:textFill>
            <w14:solidFill>
              <w14:schemeClr w14:val="tx1"/>
            </w14:solidFill>
          </w14:textFill>
        </w:rPr>
        <w:t>涉气风险物质数量与临界量比值（Q）</w:t>
      </w:r>
      <w:r>
        <w:tab/>
      </w:r>
      <w:r>
        <w:fldChar w:fldCharType="begin"/>
      </w:r>
      <w:r>
        <w:instrText xml:space="preserve"> PAGEREF _Toc21471 \h </w:instrText>
      </w:r>
      <w:r>
        <w:fldChar w:fldCharType="separate"/>
      </w:r>
      <w:r>
        <w:t>32</w:t>
      </w:r>
      <w:r>
        <w:fldChar w:fldCharType="end"/>
      </w:r>
    </w:p>
    <w:p w14:paraId="0B53A140">
      <w:pPr>
        <w:pStyle w:val="20"/>
        <w:tabs>
          <w:tab w:val="right" w:leader="dot" w:pos="9070"/>
        </w:tabs>
      </w:pPr>
      <w:r>
        <w:rPr>
          <w:rFonts w:hint="eastAsia" w:ascii="宋体" w:hAnsi="宋体" w:cs="仿宋"/>
          <w:bCs/>
          <w:color w:val="000000" w:themeColor="text1"/>
          <w:szCs w:val="28"/>
          <w:lang w:val="en-US" w:eastAsia="zh-CN"/>
          <w14:textFill>
            <w14:solidFill>
              <w14:schemeClr w14:val="tx1"/>
            </w14:solidFill>
          </w14:textFill>
        </w:rPr>
        <w:t>7</w:t>
      </w:r>
      <w:r>
        <w:rPr>
          <w:rFonts w:hint="eastAsia" w:ascii="宋体" w:hAnsi="宋体" w:eastAsia="宋体" w:cs="仿宋"/>
          <w:bCs/>
          <w:color w:val="000000" w:themeColor="text1"/>
          <w:szCs w:val="28"/>
          <w:lang w:val="en-US" w:eastAsia="zh-CN"/>
          <w14:textFill>
            <w14:solidFill>
              <w14:schemeClr w14:val="tx1"/>
            </w14:solidFill>
          </w14:textFill>
        </w:rPr>
        <w:t>.</w:t>
      </w:r>
      <w:r>
        <w:rPr>
          <w:rFonts w:hint="eastAsia" w:ascii="宋体" w:hAnsi="宋体" w:cs="仿宋"/>
          <w:bCs/>
          <w:color w:val="000000" w:themeColor="text1"/>
          <w:szCs w:val="28"/>
          <w:lang w:val="en-US" w:eastAsia="zh-CN"/>
          <w14:textFill>
            <w14:solidFill>
              <w14:schemeClr w14:val="tx1"/>
            </w14:solidFill>
          </w14:textFill>
        </w:rPr>
        <w:t>2</w:t>
      </w:r>
      <w:r>
        <w:rPr>
          <w:rFonts w:hint="eastAsia" w:ascii="宋体" w:hAnsi="宋体" w:eastAsia="宋体" w:cs="仿宋"/>
          <w:bCs/>
          <w:color w:val="000000" w:themeColor="text1"/>
          <w:szCs w:val="28"/>
          <w:lang w:val="en-US" w:eastAsia="zh-CN"/>
          <w14:textFill>
            <w14:solidFill>
              <w14:schemeClr w14:val="tx1"/>
            </w14:solidFill>
          </w14:textFill>
        </w:rPr>
        <w:t>企业突发环境事件风险等级确定与调整</w:t>
      </w:r>
      <w:r>
        <w:tab/>
      </w:r>
      <w:r>
        <w:fldChar w:fldCharType="begin"/>
      </w:r>
      <w:r>
        <w:instrText xml:space="preserve"> PAGEREF _Toc27715 \h </w:instrText>
      </w:r>
      <w:r>
        <w:fldChar w:fldCharType="separate"/>
      </w:r>
      <w:r>
        <w:t>34</w:t>
      </w:r>
      <w:r>
        <w:fldChar w:fldCharType="end"/>
      </w:r>
    </w:p>
    <w:p w14:paraId="7C3552A7">
      <w:pPr>
        <w:pStyle w:val="15"/>
        <w:tabs>
          <w:tab w:val="right" w:leader="dot" w:pos="9070"/>
        </w:tabs>
      </w:pPr>
      <w:r>
        <w:rPr>
          <w:rFonts w:hint="eastAsia" w:ascii="宋体" w:hAnsi="宋体" w:cs="仿宋"/>
          <w:bCs/>
          <w:color w:val="000000" w:themeColor="text1"/>
          <w:kern w:val="32"/>
          <w:szCs w:val="28"/>
          <w:lang w:val="en-US" w:eastAsia="zh-CN" w:bidi="en-US"/>
          <w14:textFill>
            <w14:solidFill>
              <w14:schemeClr w14:val="tx1"/>
            </w14:solidFill>
          </w14:textFill>
        </w:rPr>
        <w:t>7</w:t>
      </w:r>
      <w:r>
        <w:rPr>
          <w:rFonts w:hint="eastAsia" w:ascii="宋体" w:hAnsi="宋体" w:eastAsia="宋体" w:cs="仿宋"/>
          <w:bCs/>
          <w:color w:val="000000" w:themeColor="text1"/>
          <w:kern w:val="32"/>
          <w:szCs w:val="28"/>
          <w:lang w:val="en-US" w:eastAsia="zh-CN" w:bidi="en-US"/>
          <w14:textFill>
            <w14:solidFill>
              <w14:schemeClr w14:val="tx1"/>
            </w14:solidFill>
          </w14:textFill>
        </w:rPr>
        <w:t>.</w:t>
      </w:r>
      <w:r>
        <w:rPr>
          <w:rFonts w:hint="eastAsia" w:ascii="宋体" w:hAnsi="宋体" w:cs="仿宋"/>
          <w:bCs/>
          <w:color w:val="000000" w:themeColor="text1"/>
          <w:kern w:val="32"/>
          <w:szCs w:val="28"/>
          <w:lang w:val="en-US" w:eastAsia="zh-CN" w:bidi="en-US"/>
          <w14:textFill>
            <w14:solidFill>
              <w14:schemeClr w14:val="tx1"/>
            </w14:solidFill>
          </w14:textFill>
        </w:rPr>
        <w:t>2</w:t>
      </w:r>
      <w:r>
        <w:rPr>
          <w:rFonts w:hint="eastAsia" w:ascii="宋体" w:hAnsi="宋体" w:eastAsia="宋体" w:cs="仿宋"/>
          <w:bCs/>
          <w:color w:val="000000" w:themeColor="text1"/>
          <w:kern w:val="32"/>
          <w:szCs w:val="28"/>
          <w:lang w:val="en-US" w:eastAsia="zh-CN" w:bidi="en-US"/>
          <w14:textFill>
            <w14:solidFill>
              <w14:schemeClr w14:val="tx1"/>
            </w14:solidFill>
          </w14:textFill>
        </w:rPr>
        <w:t>.1风险等级确定和调整原则</w:t>
      </w:r>
      <w:r>
        <w:tab/>
      </w:r>
      <w:r>
        <w:fldChar w:fldCharType="begin"/>
      </w:r>
      <w:r>
        <w:instrText xml:space="preserve"> PAGEREF _Toc77 \h </w:instrText>
      </w:r>
      <w:r>
        <w:fldChar w:fldCharType="separate"/>
      </w:r>
      <w:r>
        <w:t>34</w:t>
      </w:r>
      <w:r>
        <w:fldChar w:fldCharType="end"/>
      </w:r>
    </w:p>
    <w:p w14:paraId="3B418AE7">
      <w:pPr>
        <w:pStyle w:val="15"/>
        <w:tabs>
          <w:tab w:val="right" w:leader="dot" w:pos="9070"/>
        </w:tabs>
      </w:pPr>
      <w:r>
        <w:rPr>
          <w:rFonts w:hint="eastAsia" w:ascii="宋体" w:hAnsi="宋体" w:cs="仿宋"/>
          <w:bCs/>
          <w:color w:val="000000" w:themeColor="text1"/>
          <w:kern w:val="32"/>
          <w:szCs w:val="28"/>
          <w:lang w:val="en-US" w:eastAsia="zh-CN" w:bidi="en-US"/>
          <w14:textFill>
            <w14:solidFill>
              <w14:schemeClr w14:val="tx1"/>
            </w14:solidFill>
          </w14:textFill>
        </w:rPr>
        <w:t>7</w:t>
      </w:r>
      <w:r>
        <w:rPr>
          <w:rFonts w:hint="eastAsia" w:ascii="宋体" w:hAnsi="宋体" w:eastAsia="宋体" w:cs="仿宋"/>
          <w:bCs/>
          <w:color w:val="000000" w:themeColor="text1"/>
          <w:kern w:val="32"/>
          <w:szCs w:val="28"/>
          <w:lang w:val="en-US" w:eastAsia="zh-CN" w:bidi="en-US"/>
          <w14:textFill>
            <w14:solidFill>
              <w14:schemeClr w14:val="tx1"/>
            </w14:solidFill>
          </w14:textFill>
        </w:rPr>
        <w:t>.</w:t>
      </w:r>
      <w:r>
        <w:rPr>
          <w:rFonts w:hint="eastAsia" w:ascii="宋体" w:hAnsi="宋体" w:cs="仿宋"/>
          <w:bCs/>
          <w:color w:val="000000" w:themeColor="text1"/>
          <w:kern w:val="32"/>
          <w:szCs w:val="28"/>
          <w:lang w:val="en-US" w:eastAsia="zh-CN" w:bidi="en-US"/>
          <w14:textFill>
            <w14:solidFill>
              <w14:schemeClr w14:val="tx1"/>
            </w14:solidFill>
          </w14:textFill>
        </w:rPr>
        <w:t>2</w:t>
      </w:r>
      <w:r>
        <w:rPr>
          <w:rFonts w:hint="eastAsia" w:ascii="宋体" w:hAnsi="宋体" w:eastAsia="宋体" w:cs="仿宋"/>
          <w:bCs/>
          <w:color w:val="000000" w:themeColor="text1"/>
          <w:kern w:val="32"/>
          <w:szCs w:val="28"/>
          <w:lang w:val="en-US" w:eastAsia="zh-CN" w:bidi="en-US"/>
          <w14:textFill>
            <w14:solidFill>
              <w14:schemeClr w14:val="tx1"/>
            </w14:solidFill>
          </w14:textFill>
        </w:rPr>
        <w:t>.2公司风险等级确定</w:t>
      </w:r>
      <w:r>
        <w:tab/>
      </w:r>
      <w:r>
        <w:fldChar w:fldCharType="begin"/>
      </w:r>
      <w:r>
        <w:instrText xml:space="preserve"> PAGEREF _Toc24574 \h </w:instrText>
      </w:r>
      <w:r>
        <w:fldChar w:fldCharType="separate"/>
      </w:r>
      <w:r>
        <w:t>34</w:t>
      </w:r>
      <w:r>
        <w:fldChar w:fldCharType="end"/>
      </w:r>
    </w:p>
    <w:p w14:paraId="1BA93F9E">
      <w:pPr>
        <w:pStyle w:val="19"/>
        <w:tabs>
          <w:tab w:val="right" w:leader="dot" w:pos="9070"/>
          <w:tab w:val="clear" w:pos="8296"/>
        </w:tabs>
      </w:pPr>
      <w:r>
        <w:rPr>
          <w:rFonts w:hint="eastAsia" w:ascii="宋体" w:hAnsi="宋体" w:eastAsia="宋体" w:cs="仿宋"/>
          <w:bCs/>
          <w:color w:val="000000" w:themeColor="text1"/>
          <w:szCs w:val="28"/>
          <w:lang w:val="en-US" w:eastAsia="zh-CN"/>
          <w14:textFill>
            <w14:solidFill>
              <w14:schemeClr w14:val="tx1"/>
            </w14:solidFill>
          </w14:textFill>
        </w:rPr>
        <w:t>附件一：</w:t>
      </w:r>
      <w:r>
        <w:rPr>
          <w:rFonts w:hint="eastAsia" w:ascii="宋体" w:hAnsi="宋体" w:cs="仿宋"/>
          <w:bCs/>
          <w:color w:val="000000" w:themeColor="text1"/>
          <w:szCs w:val="28"/>
          <w:lang w:val="en-US" w:eastAsia="zh-CN"/>
          <w14:textFill>
            <w14:solidFill>
              <w14:schemeClr w14:val="tx1"/>
            </w14:solidFill>
          </w14:textFill>
        </w:rPr>
        <w:t>公司</w:t>
      </w:r>
      <w:r>
        <w:rPr>
          <w:rFonts w:hint="eastAsia" w:ascii="宋体" w:hAnsi="宋体" w:eastAsia="宋体" w:cs="仿宋"/>
          <w:bCs/>
          <w:color w:val="000000" w:themeColor="text1"/>
          <w:szCs w:val="28"/>
          <w:lang w:val="en-US" w:eastAsia="zh-CN"/>
          <w14:textFill>
            <w14:solidFill>
              <w14:schemeClr w14:val="tx1"/>
            </w14:solidFill>
          </w14:textFill>
        </w:rPr>
        <w:t xml:space="preserve">地理位置图 </w:t>
      </w:r>
      <w:r>
        <w:tab/>
      </w:r>
      <w:r>
        <w:fldChar w:fldCharType="begin"/>
      </w:r>
      <w:r>
        <w:instrText xml:space="preserve"> PAGEREF _Toc4913 \h </w:instrText>
      </w:r>
      <w:r>
        <w:fldChar w:fldCharType="separate"/>
      </w:r>
      <w:r>
        <w:t>35</w:t>
      </w:r>
      <w:r>
        <w:fldChar w:fldCharType="end"/>
      </w:r>
    </w:p>
    <w:p w14:paraId="7CFCA664">
      <w:pPr>
        <w:pStyle w:val="19"/>
        <w:tabs>
          <w:tab w:val="right" w:leader="dot" w:pos="9070"/>
          <w:tab w:val="clear" w:pos="8296"/>
        </w:tabs>
      </w:pPr>
      <w:r>
        <w:rPr>
          <w:rFonts w:hint="eastAsia" w:ascii="宋体" w:hAnsi="宋体" w:eastAsia="宋体" w:cs="仿宋"/>
          <w:bCs/>
          <w:kern w:val="32"/>
          <w:szCs w:val="28"/>
          <w:lang w:val="en-US" w:eastAsia="zh-CN" w:bidi="en-US"/>
        </w:rPr>
        <w:t>附件</w:t>
      </w:r>
      <w:r>
        <w:rPr>
          <w:rFonts w:hint="eastAsia" w:ascii="宋体" w:hAnsi="宋体" w:cs="仿宋"/>
          <w:bCs/>
          <w:kern w:val="32"/>
          <w:szCs w:val="28"/>
          <w:lang w:val="en-US" w:eastAsia="zh-CN" w:bidi="en-US"/>
        </w:rPr>
        <w:t>二</w:t>
      </w:r>
      <w:r>
        <w:rPr>
          <w:rFonts w:hint="eastAsia" w:ascii="宋体" w:hAnsi="宋体" w:eastAsia="宋体" w:cs="仿宋"/>
          <w:bCs/>
          <w:kern w:val="32"/>
          <w:szCs w:val="28"/>
          <w:lang w:val="en-US" w:eastAsia="zh-CN" w:bidi="en-US"/>
        </w:rPr>
        <w:t>：公司</w:t>
      </w:r>
      <w:r>
        <w:rPr>
          <w:rFonts w:hint="eastAsia" w:ascii="宋体" w:hAnsi="宋体" w:cs="仿宋"/>
          <w:bCs/>
          <w:kern w:val="32"/>
          <w:szCs w:val="28"/>
          <w:lang w:val="en-US" w:eastAsia="zh-CN" w:bidi="en-US"/>
        </w:rPr>
        <w:t>所在区域水系图</w:t>
      </w:r>
      <w:r>
        <w:tab/>
      </w:r>
      <w:r>
        <w:fldChar w:fldCharType="begin"/>
      </w:r>
      <w:r>
        <w:instrText xml:space="preserve"> PAGEREF _Toc20917 \h </w:instrText>
      </w:r>
      <w:r>
        <w:fldChar w:fldCharType="separate"/>
      </w:r>
      <w:r>
        <w:t>36</w:t>
      </w:r>
      <w:r>
        <w:fldChar w:fldCharType="end"/>
      </w:r>
    </w:p>
    <w:p w14:paraId="050E753E">
      <w:pPr>
        <w:pStyle w:val="19"/>
        <w:tabs>
          <w:tab w:val="right" w:leader="dot" w:pos="9070"/>
          <w:tab w:val="clear" w:pos="8296"/>
        </w:tabs>
      </w:pPr>
      <w:r>
        <w:rPr>
          <w:rFonts w:hint="eastAsia" w:ascii="宋体" w:hAnsi="宋体" w:eastAsia="宋体" w:cs="仿宋"/>
          <w:bCs/>
          <w:kern w:val="32"/>
          <w:szCs w:val="28"/>
          <w:lang w:val="en-US" w:eastAsia="zh-CN" w:bidi="en-US"/>
        </w:rPr>
        <w:t>附件三：公司平面布置图</w:t>
      </w:r>
      <w:r>
        <w:tab/>
      </w:r>
      <w:r>
        <w:fldChar w:fldCharType="begin"/>
      </w:r>
      <w:r>
        <w:instrText xml:space="preserve"> PAGEREF _Toc24839 \h </w:instrText>
      </w:r>
      <w:r>
        <w:fldChar w:fldCharType="separate"/>
      </w:r>
      <w:r>
        <w:t>37</w:t>
      </w:r>
      <w:r>
        <w:fldChar w:fldCharType="end"/>
      </w:r>
    </w:p>
    <w:p w14:paraId="73CF4ACB">
      <w:pPr>
        <w:pStyle w:val="19"/>
        <w:tabs>
          <w:tab w:val="right" w:leader="dot" w:pos="9070"/>
          <w:tab w:val="clear" w:pos="8296"/>
        </w:tabs>
      </w:pPr>
      <w:r>
        <w:rPr>
          <w:rFonts w:hint="eastAsia" w:ascii="宋体" w:hAnsi="宋体" w:eastAsia="宋体" w:cs="仿宋"/>
          <w:bCs/>
          <w:kern w:val="32"/>
          <w:szCs w:val="28"/>
          <w:lang w:val="en-US" w:eastAsia="zh-CN" w:bidi="en-US"/>
        </w:rPr>
        <w:t>附件四：公司周边环境受体分布图</w:t>
      </w:r>
      <w:r>
        <w:tab/>
      </w:r>
      <w:r>
        <w:fldChar w:fldCharType="begin"/>
      </w:r>
      <w:r>
        <w:instrText xml:space="preserve"> PAGEREF _Toc6371 \h </w:instrText>
      </w:r>
      <w:r>
        <w:fldChar w:fldCharType="separate"/>
      </w:r>
      <w:r>
        <w:t>38</w:t>
      </w:r>
      <w:r>
        <w:fldChar w:fldCharType="end"/>
      </w:r>
    </w:p>
    <w:p w14:paraId="5E267BBF">
      <w:pPr>
        <w:pStyle w:val="19"/>
        <w:tabs>
          <w:tab w:val="right" w:leader="dot" w:pos="9070"/>
          <w:tab w:val="clear" w:pos="8296"/>
        </w:tabs>
      </w:pPr>
      <w:r>
        <w:rPr>
          <w:rFonts w:hint="eastAsia" w:ascii="宋体" w:hAnsi="宋体" w:eastAsia="宋体" w:cs="仿宋"/>
          <w:bCs/>
          <w:kern w:val="32"/>
          <w:szCs w:val="28"/>
          <w:lang w:val="en-US" w:eastAsia="zh-CN" w:bidi="en-US"/>
        </w:rPr>
        <w:t>附件</w:t>
      </w:r>
      <w:r>
        <w:rPr>
          <w:rFonts w:hint="eastAsia" w:ascii="宋体" w:hAnsi="宋体" w:cs="仿宋"/>
          <w:bCs/>
          <w:kern w:val="32"/>
          <w:szCs w:val="28"/>
          <w:lang w:val="en-US" w:eastAsia="zh-CN" w:bidi="en-US"/>
        </w:rPr>
        <w:t>五</w:t>
      </w:r>
      <w:r>
        <w:rPr>
          <w:rFonts w:hint="eastAsia" w:ascii="宋体" w:hAnsi="宋体" w:eastAsia="宋体" w:cs="仿宋"/>
          <w:bCs/>
          <w:kern w:val="32"/>
          <w:szCs w:val="28"/>
          <w:lang w:val="en-US" w:eastAsia="zh-CN" w:bidi="en-US"/>
        </w:rPr>
        <w:t>：公司用水收集排放图</w:t>
      </w:r>
      <w:r>
        <w:tab/>
      </w:r>
      <w:r>
        <w:fldChar w:fldCharType="begin"/>
      </w:r>
      <w:r>
        <w:instrText xml:space="preserve"> PAGEREF _Toc11398 \h </w:instrText>
      </w:r>
      <w:r>
        <w:fldChar w:fldCharType="separate"/>
      </w:r>
      <w:r>
        <w:t>39</w:t>
      </w:r>
      <w:r>
        <w:fldChar w:fldCharType="end"/>
      </w:r>
    </w:p>
    <w:p w14:paraId="7D715FA8">
      <w:pPr>
        <w:pStyle w:val="19"/>
        <w:tabs>
          <w:tab w:val="right" w:leader="dot" w:pos="9070"/>
          <w:tab w:val="clear" w:pos="8296"/>
        </w:tabs>
      </w:pPr>
      <w:r>
        <w:rPr>
          <w:rFonts w:hint="eastAsia" w:ascii="宋体" w:hAnsi="宋体" w:eastAsia="宋体" w:cs="仿宋"/>
          <w:bCs/>
          <w:kern w:val="32"/>
          <w:szCs w:val="28"/>
          <w:lang w:val="en-US" w:eastAsia="zh-CN" w:bidi="en-US"/>
        </w:rPr>
        <w:t>附件</w:t>
      </w:r>
      <w:r>
        <w:rPr>
          <w:rFonts w:hint="eastAsia" w:ascii="宋体" w:hAnsi="宋体" w:cs="仿宋"/>
          <w:bCs/>
          <w:kern w:val="32"/>
          <w:szCs w:val="28"/>
          <w:lang w:val="en-US" w:eastAsia="zh-CN" w:bidi="en-US"/>
        </w:rPr>
        <w:t>六</w:t>
      </w:r>
      <w:r>
        <w:rPr>
          <w:rFonts w:hint="eastAsia" w:ascii="宋体" w:hAnsi="宋体" w:eastAsia="宋体" w:cs="仿宋"/>
          <w:bCs/>
          <w:kern w:val="32"/>
          <w:szCs w:val="28"/>
          <w:lang w:val="en-US" w:eastAsia="zh-CN" w:bidi="en-US"/>
        </w:rPr>
        <w:t>：公司</w:t>
      </w:r>
      <w:r>
        <w:rPr>
          <w:rFonts w:hint="eastAsia" w:ascii="宋体" w:hAnsi="宋体" w:cs="仿宋"/>
          <w:bCs/>
          <w:kern w:val="32"/>
          <w:szCs w:val="28"/>
          <w:lang w:val="en-US" w:eastAsia="zh-CN" w:bidi="en-US"/>
        </w:rPr>
        <w:t>风险源分布图</w:t>
      </w:r>
      <w:r>
        <w:tab/>
      </w:r>
      <w:r>
        <w:fldChar w:fldCharType="begin"/>
      </w:r>
      <w:r>
        <w:instrText xml:space="preserve"> PAGEREF _Toc14827 \h </w:instrText>
      </w:r>
      <w:r>
        <w:fldChar w:fldCharType="separate"/>
      </w:r>
      <w:r>
        <w:t>40</w:t>
      </w:r>
      <w:r>
        <w:fldChar w:fldCharType="end"/>
      </w:r>
    </w:p>
    <w:p w14:paraId="04E1D5A6">
      <w:pPr>
        <w:autoSpaceDE w:val="0"/>
        <w:autoSpaceDN w:val="0"/>
        <w:adjustRightInd w:val="0"/>
        <w:spacing w:line="360" w:lineRule="auto"/>
        <w:outlineLvl w:val="9"/>
        <w:rPr>
          <w:rFonts w:hint="eastAsia" w:ascii="宋体" w:hAnsi="宋体" w:cs="宋体"/>
          <w:b w:val="0"/>
          <w:bCs/>
          <w:caps/>
          <w:color w:val="000000"/>
          <w:szCs w:val="21"/>
        </w:rPr>
        <w:sectPr>
          <w:headerReference r:id="rId7" w:type="default"/>
          <w:footerReference r:id="rId8" w:type="default"/>
          <w:pgSz w:w="11906" w:h="16838"/>
          <w:pgMar w:top="1418" w:right="1418" w:bottom="1418" w:left="1418"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hint="eastAsia" w:ascii="宋体" w:hAnsi="宋体" w:eastAsia="宋体" w:cs="宋体"/>
          <w:bCs/>
          <w:caps/>
          <w:color w:val="000000"/>
          <w:szCs w:val="24"/>
        </w:rPr>
        <w:fldChar w:fldCharType="end"/>
      </w:r>
    </w:p>
    <w:p w14:paraId="7F68F747">
      <w:pPr>
        <w:pStyle w:val="8"/>
        <w:spacing w:before="0" w:after="0" w:line="360" w:lineRule="auto"/>
        <w:jc w:val="both"/>
        <w:rPr>
          <w:rFonts w:hint="eastAsia" w:ascii="宋体" w:hAnsi="宋体" w:eastAsia="宋体" w:cs="宋体"/>
          <w:color w:val="000000"/>
          <w:sz w:val="30"/>
          <w:szCs w:val="30"/>
          <w:lang w:eastAsia="zh-CN"/>
        </w:rPr>
      </w:pPr>
      <w:bookmarkStart w:id="3" w:name="_Toc16378"/>
      <w:bookmarkStart w:id="4" w:name="_Toc18068"/>
      <w:r>
        <w:rPr>
          <w:rFonts w:hint="eastAsia" w:ascii="宋体" w:hAnsi="宋体" w:cs="宋体"/>
          <w:color w:val="000000"/>
          <w:kern w:val="0"/>
          <w:sz w:val="30"/>
          <w:szCs w:val="30"/>
          <w:lang w:val="zh-CN" w:eastAsia="zh-CN"/>
        </w:rPr>
        <w:t>1 前言</w:t>
      </w:r>
      <w:bookmarkEnd w:id="3"/>
      <w:bookmarkEnd w:id="4"/>
    </w:p>
    <w:p w14:paraId="5D5D1146">
      <w:pPr>
        <w:spacing w:line="360" w:lineRule="auto"/>
        <w:ind w:firstLine="480" w:firstLineChars="200"/>
        <w:rPr>
          <w:rFonts w:hint="eastAsia" w:ascii="宋体" w:hAnsi="宋体" w:cs="宋体"/>
          <w:bCs/>
          <w:color w:val="000000" w:themeColor="text1"/>
          <w:sz w:val="24"/>
          <w:szCs w:val="24"/>
          <w:shd w:val="clear" w:color="auto" w:fill="FFFFFF"/>
          <w14:textFill>
            <w14:solidFill>
              <w14:schemeClr w14:val="tx1"/>
            </w14:solidFill>
          </w14:textFill>
        </w:rPr>
      </w:pPr>
      <w:r>
        <w:rPr>
          <w:rFonts w:hint="eastAsia" w:ascii="宋体" w:hAnsi="宋体" w:cs="宋体"/>
          <w:color w:val="000000"/>
          <w:sz w:val="24"/>
          <w:szCs w:val="24"/>
        </w:rPr>
        <w:t>为提高企业环境风险防控能力，同时为生态环境保护主管部门根据企业环境风险等级实施分级差别化管理提供技术支持，为企业编制突发环境事件应急预案提供环境风险基础资料，按照《关于印发企业突发环境事件风险评估指南（试行）的通知》(环办[2014]34号)、《企业突发环境事件风险分级方法》（HJ9</w:t>
      </w:r>
      <w:r>
        <w:rPr>
          <w:rFonts w:hint="eastAsia" w:ascii="宋体" w:hAnsi="宋体" w:cs="宋体"/>
          <w:color w:val="000000" w:themeColor="text1"/>
          <w:sz w:val="24"/>
          <w:szCs w:val="24"/>
          <w14:textFill>
            <w14:solidFill>
              <w14:schemeClr w14:val="tx1"/>
            </w14:solidFill>
          </w14:textFill>
        </w:rPr>
        <w:t>41-2018）等相关要求，进一步规范企业环境风险的评估工作，《企业事业单位突发环境事件应急预案备案管理办法（试行）》</w:t>
      </w:r>
      <w:r>
        <w:rPr>
          <w:rFonts w:hint="eastAsia" w:ascii="宋体" w:hAnsi="宋体" w:cs="宋体"/>
          <w:bCs/>
          <w:color w:val="000000" w:themeColor="text1"/>
          <w:sz w:val="24"/>
          <w:szCs w:val="24"/>
          <w:shd w:val="clear" w:color="auto" w:fill="FFFFFF"/>
          <w14:textFill>
            <w14:solidFill>
              <w14:schemeClr w14:val="tx1"/>
            </w14:solidFill>
          </w14:textFill>
        </w:rPr>
        <w:t>(环发〔2015〕4号)明确规定，将环境风险评估报告作为企业环境应急预案备案中必须提交的文件。</w:t>
      </w:r>
    </w:p>
    <w:p w14:paraId="037D4A2B">
      <w:pPr>
        <w:spacing w:line="360" w:lineRule="auto"/>
        <w:ind w:firstLine="480" w:firstLineChars="200"/>
        <w:rPr>
          <w:rFonts w:hint="eastAsia" w:ascii="宋体" w:hAnsi="宋体" w:cs="宋体"/>
          <w:color w:val="000000" w:themeColor="text1"/>
          <w:sz w:val="24"/>
          <w:szCs w:val="24"/>
          <w14:textFill>
            <w14:solidFill>
              <w14:schemeClr w14:val="tx1"/>
            </w14:solidFill>
          </w14:textFill>
        </w:rPr>
      </w:pPr>
    </w:p>
    <w:p w14:paraId="3303B206">
      <w:pPr>
        <w:spacing w:line="360" w:lineRule="auto"/>
        <w:ind w:firstLine="480" w:firstLineChars="200"/>
        <w:rPr>
          <w:rFonts w:hint="eastAsia" w:ascii="宋体" w:hAnsi="宋体" w:cs="宋体"/>
          <w:color w:val="000000" w:themeColor="text1"/>
          <w:sz w:val="24"/>
          <w:szCs w:val="24"/>
          <w14:textFill>
            <w14:solidFill>
              <w14:schemeClr w14:val="tx1"/>
            </w14:solidFill>
          </w14:textFill>
        </w:rPr>
      </w:pPr>
      <w:r>
        <w:rPr>
          <w:rFonts w:hint="eastAsia" w:ascii="宋体" w:hAnsi="宋体" w:cs="宋体"/>
          <w:color w:val="000000" w:themeColor="text1"/>
          <w:sz w:val="24"/>
          <w:szCs w:val="24"/>
          <w14:textFill>
            <w14:solidFill>
              <w14:schemeClr w14:val="tx1"/>
            </w14:solidFill>
          </w14:textFill>
        </w:rPr>
        <w:t>对公司突发环境事件风险评估，能够更好的掌握企业发生突发环境事件时对事件的处理能力、厂内现有的应急和处置设施设备对风险的防控能力；能够结合公司周围的环境状况，在公司发生风险事故时，各种污染物质对周边的危害程度进行全面的评价。通过对风险评估，能够让公司了解自身发生风险事故时的缺陷和不足，及时进行整改完善，减少风险事故发生时的危害，防范未然、积极应对。对于应急中需要不足的物资进行补充完善，以备将风险可能产生的影响降到最小。</w:t>
      </w:r>
    </w:p>
    <w:p w14:paraId="7C3DAD65">
      <w:pPr>
        <w:spacing w:line="360" w:lineRule="auto"/>
        <w:ind w:firstLine="480" w:firstLineChars="200"/>
        <w:rPr>
          <w:rFonts w:hint="eastAsia" w:ascii="宋体" w:hAnsi="宋体" w:cs="宋体"/>
          <w:color w:val="000000" w:themeColor="text1"/>
          <w:sz w:val="24"/>
          <w:szCs w:val="24"/>
          <w14:textFill>
            <w14:solidFill>
              <w14:schemeClr w14:val="tx1"/>
            </w14:solidFill>
          </w14:textFill>
        </w:rPr>
      </w:pPr>
    </w:p>
    <w:p w14:paraId="75713B17">
      <w:pPr>
        <w:spacing w:line="360" w:lineRule="auto"/>
        <w:ind w:firstLine="480" w:firstLineChars="200"/>
        <w:rPr>
          <w:rFonts w:hint="eastAsia" w:ascii="宋体" w:hAnsi="宋体" w:cs="宋体"/>
          <w:color w:val="000000" w:themeColor="text1"/>
          <w:sz w:val="28"/>
          <w:szCs w:val="28"/>
          <w14:textFill>
            <w14:solidFill>
              <w14:schemeClr w14:val="tx1"/>
            </w14:solidFill>
          </w14:textFill>
        </w:rPr>
        <w:sectPr>
          <w:footerReference r:id="rId9" w:type="default"/>
          <w:pgSz w:w="11906" w:h="16838"/>
          <w:pgMar w:top="1440" w:right="1080" w:bottom="1440" w:left="108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hint="eastAsia" w:ascii="宋体" w:hAnsi="宋体" w:cs="宋体"/>
          <w:color w:val="000000" w:themeColor="text1"/>
          <w:sz w:val="24"/>
          <w:szCs w:val="24"/>
          <w14:textFill>
            <w14:solidFill>
              <w14:schemeClr w14:val="tx1"/>
            </w14:solidFill>
          </w14:textFill>
        </w:rPr>
        <w:t>为进一步掌握公司自身环境风险状况，明确风险防控措施，有效指导公司突发环境事件应急预案的编制工作，为后期公司加强对环境风险防控奠定基础，特此编制本风险评估报告。</w:t>
      </w:r>
    </w:p>
    <w:p w14:paraId="101D4E26">
      <w:pPr>
        <w:pStyle w:val="8"/>
        <w:spacing w:before="0" w:after="0" w:line="360" w:lineRule="auto"/>
        <w:jc w:val="both"/>
        <w:rPr>
          <w:rFonts w:hint="eastAsia" w:ascii="宋体" w:hAnsi="宋体" w:cs="宋体"/>
          <w:color w:val="000000" w:themeColor="text1"/>
          <w:kern w:val="0"/>
          <w:sz w:val="30"/>
          <w:szCs w:val="30"/>
          <w:lang w:val="zh-CN" w:eastAsia="zh-CN"/>
          <w14:textFill>
            <w14:solidFill>
              <w14:schemeClr w14:val="tx1"/>
            </w14:solidFill>
          </w14:textFill>
        </w:rPr>
      </w:pPr>
      <w:bookmarkStart w:id="5" w:name="_Toc8873"/>
      <w:bookmarkStart w:id="6" w:name="_Toc6793"/>
      <w:r>
        <w:rPr>
          <w:rFonts w:hint="eastAsia" w:ascii="宋体" w:hAnsi="宋体" w:cs="宋体"/>
          <w:color w:val="000000" w:themeColor="text1"/>
          <w:kern w:val="0"/>
          <w:sz w:val="30"/>
          <w:szCs w:val="30"/>
          <w:lang w:val="zh-CN" w:eastAsia="zh-CN"/>
          <w14:textFill>
            <w14:solidFill>
              <w14:schemeClr w14:val="tx1"/>
            </w14:solidFill>
          </w14:textFill>
        </w:rPr>
        <w:t>2 总则</w:t>
      </w:r>
      <w:bookmarkEnd w:id="5"/>
      <w:bookmarkEnd w:id="6"/>
    </w:p>
    <w:p w14:paraId="08174D9C">
      <w:pPr>
        <w:pStyle w:val="9"/>
        <w:spacing w:before="0" w:after="0" w:line="360" w:lineRule="auto"/>
        <w:outlineLvl w:val="1"/>
        <w:rPr>
          <w:rFonts w:hint="eastAsia" w:ascii="宋体" w:hAnsi="宋体" w:cs="宋体"/>
          <w:color w:val="000000" w:themeColor="text1"/>
          <w:kern w:val="0"/>
          <w:sz w:val="28"/>
          <w:szCs w:val="28"/>
          <w:lang w:val="zh-CN" w:eastAsia="zh-CN"/>
          <w14:textFill>
            <w14:solidFill>
              <w14:schemeClr w14:val="tx1"/>
            </w14:solidFill>
          </w14:textFill>
        </w:rPr>
      </w:pPr>
      <w:bookmarkStart w:id="7" w:name="_Toc25688"/>
      <w:bookmarkStart w:id="8" w:name="_Toc2540"/>
      <w:r>
        <w:rPr>
          <w:rFonts w:hint="eastAsia" w:ascii="宋体" w:hAnsi="宋体" w:cs="宋体"/>
          <w:color w:val="000000" w:themeColor="text1"/>
          <w:kern w:val="0"/>
          <w:sz w:val="28"/>
          <w:szCs w:val="28"/>
          <w:lang w:val="zh-CN" w:eastAsia="zh-CN"/>
          <w14:textFill>
            <w14:solidFill>
              <w14:schemeClr w14:val="tx1"/>
            </w14:solidFill>
          </w14:textFill>
        </w:rPr>
        <w:t>2.1编制原则</w:t>
      </w:r>
      <w:bookmarkEnd w:id="7"/>
      <w:bookmarkEnd w:id="8"/>
    </w:p>
    <w:p w14:paraId="1385BBC7">
      <w:pPr>
        <w:pStyle w:val="35"/>
        <w:snapToGrid w:val="0"/>
        <w:spacing w:line="360" w:lineRule="auto"/>
        <w:ind w:firstLine="480"/>
        <w:rPr>
          <w:rFonts w:hint="eastAsia" w:ascii="宋体" w:hAnsi="宋体" w:cs="宋体"/>
          <w:color w:val="000000" w:themeColor="text1"/>
          <w14:textFill>
            <w14:solidFill>
              <w14:schemeClr w14:val="tx1"/>
            </w14:solidFill>
          </w14:textFill>
        </w:rPr>
      </w:pPr>
      <w:bookmarkStart w:id="9" w:name="_Toc208565978"/>
      <w:r>
        <w:rPr>
          <w:rFonts w:hint="eastAsia" w:ascii="宋体" w:hAnsi="宋体" w:cs="宋体"/>
          <w:color w:val="000000" w:themeColor="text1"/>
          <w14:textFill>
            <w14:solidFill>
              <w14:schemeClr w14:val="tx1"/>
            </w14:solidFill>
          </w14:textFill>
        </w:rPr>
        <w:t>根据</w:t>
      </w:r>
      <w:r>
        <w:rPr>
          <w:rFonts w:hint="eastAsia" w:ascii="宋体" w:hAnsi="宋体" w:cs="宋体"/>
          <w:color w:val="000000" w:themeColor="text1"/>
          <w:highlight w:val="none"/>
          <w:lang w:val="en-US" w:eastAsia="zh-CN"/>
          <w14:textFill>
            <w14:solidFill>
              <w14:schemeClr w14:val="tx1"/>
            </w14:solidFill>
          </w14:textFill>
        </w:rPr>
        <w:t>企业</w:t>
      </w:r>
      <w:r>
        <w:rPr>
          <w:rFonts w:hint="eastAsia" w:ascii="宋体" w:hAnsi="宋体" w:cs="宋体"/>
          <w:color w:val="000000" w:themeColor="text1"/>
          <w14:textFill>
            <w14:solidFill>
              <w14:schemeClr w14:val="tx1"/>
            </w14:solidFill>
          </w14:textFill>
        </w:rPr>
        <w:t>环境特征和项目对环境的影响特点及环境保护的政策法规，在进行评估时遵循以下原则：</w:t>
      </w:r>
    </w:p>
    <w:p w14:paraId="17B72402">
      <w:pPr>
        <w:pStyle w:val="35"/>
        <w:snapToGrid w:val="0"/>
        <w:spacing w:line="360" w:lineRule="auto"/>
        <w:ind w:firstLine="480"/>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（1）环境风险评估应体现科学性、规范性、客观性和真实性的原则；</w:t>
      </w:r>
    </w:p>
    <w:p w14:paraId="41096E42">
      <w:pPr>
        <w:pStyle w:val="35"/>
        <w:snapToGrid w:val="0"/>
        <w:spacing w:line="360" w:lineRule="auto"/>
        <w:ind w:firstLine="480"/>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（2）环境风险评估过程中以贯彻执行国家环境保护法律法规、标准、政策，如实反映企业的环境风险状况，明确风险防控措施；</w:t>
      </w:r>
    </w:p>
    <w:p w14:paraId="04EA2E7E">
      <w:pPr>
        <w:pStyle w:val="35"/>
        <w:snapToGrid w:val="0"/>
        <w:spacing w:line="360" w:lineRule="auto"/>
        <w:ind w:firstLine="480"/>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（3）评估报告的内容形式符合《关于印发企业突发环境事件风险评估指南（试行）的通知》(环办[2014]34号)、《企业突发环境事件风险分级方法》（HJ941-2018）等相关要求；</w:t>
      </w:r>
    </w:p>
    <w:p w14:paraId="63930E1D">
      <w:pPr>
        <w:pStyle w:val="35"/>
        <w:snapToGrid w:val="0"/>
        <w:spacing w:line="360" w:lineRule="auto"/>
        <w:ind w:firstLine="480"/>
        <w:rPr>
          <w:rFonts w:hint="eastAsia" w:ascii="宋体" w:hAnsi="宋体" w:cs="宋体"/>
          <w:color w:val="000000" w:themeColor="text1"/>
          <w14:textFill>
            <w14:solidFill>
              <w14:schemeClr w14:val="tx1"/>
            </w14:solidFill>
          </w14:textFill>
        </w:rPr>
      </w:pPr>
      <w:r>
        <w:rPr>
          <w:rFonts w:hint="eastAsia" w:ascii="宋体" w:hAnsi="宋体" w:cs="宋体"/>
          <w:color w:val="000000" w:themeColor="text1"/>
          <w14:textFill>
            <w14:solidFill>
              <w14:schemeClr w14:val="tx1"/>
            </w14:solidFill>
          </w14:textFill>
        </w:rPr>
        <w:t>（4）通过环境风险评估提出（制定）整改方案。</w:t>
      </w:r>
    </w:p>
    <w:bookmarkEnd w:id="9"/>
    <w:p w14:paraId="19D76E14">
      <w:pPr>
        <w:pStyle w:val="10"/>
        <w:keepNext/>
        <w:keepLines/>
        <w:spacing w:before="140" w:beforeLines="0" w:after="140" w:afterLines="0" w:line="416" w:lineRule="auto"/>
        <w:ind w:firstLine="0" w:firstLineChars="0"/>
        <w:jc w:val="both"/>
        <w:rPr>
          <w:rFonts w:hint="eastAsia" w:ascii="宋体" w:hAnsi="宋体" w:eastAsia="宋体" w:cs="Times New Roman"/>
          <w:b/>
          <w:bCs/>
          <w:color w:val="000000" w:themeColor="text1"/>
          <w:sz w:val="28"/>
          <w:szCs w:val="28"/>
          <w:lang w:val="en-US" w:eastAsia="zh-CN"/>
          <w14:textFill>
            <w14:solidFill>
              <w14:schemeClr w14:val="tx1"/>
            </w14:solidFill>
          </w14:textFill>
        </w:rPr>
      </w:pPr>
      <w:bookmarkStart w:id="10" w:name="_Toc6324"/>
      <w:bookmarkStart w:id="11" w:name="_Toc9469"/>
      <w:bookmarkStart w:id="12" w:name="_Toc14342"/>
      <w:bookmarkStart w:id="13" w:name="_Toc54187292"/>
      <w:r>
        <w:rPr>
          <w:rFonts w:hint="eastAsia" w:ascii="宋体" w:hAnsi="宋体" w:eastAsia="宋体" w:cs="Times New Roman"/>
          <w:b/>
          <w:bCs/>
          <w:color w:val="000000" w:themeColor="text1"/>
          <w:sz w:val="28"/>
          <w:szCs w:val="28"/>
          <w:lang w:val="en-US" w:eastAsia="zh-CN"/>
          <w14:textFill>
            <w14:solidFill>
              <w14:schemeClr w14:val="tx1"/>
            </w14:solidFill>
          </w14:textFill>
        </w:rPr>
        <w:t>2.</w:t>
      </w:r>
      <w:r>
        <w:rPr>
          <w:rFonts w:hint="eastAsia" w:ascii="宋体" w:hAnsi="宋体" w:cs="Times New Roman"/>
          <w:b/>
          <w:bCs/>
          <w:color w:val="000000" w:themeColor="text1"/>
          <w:sz w:val="28"/>
          <w:szCs w:val="28"/>
          <w:lang w:val="en-US" w:eastAsia="zh-CN"/>
          <w14:textFill>
            <w14:solidFill>
              <w14:schemeClr w14:val="tx1"/>
            </w14:solidFill>
          </w14:textFill>
        </w:rPr>
        <w:t>1</w:t>
      </w:r>
      <w:r>
        <w:rPr>
          <w:rFonts w:hint="eastAsia" w:ascii="宋体" w:hAnsi="宋体" w:eastAsia="宋体" w:cs="Times New Roman"/>
          <w:b/>
          <w:bCs/>
          <w:color w:val="000000" w:themeColor="text1"/>
          <w:sz w:val="28"/>
          <w:szCs w:val="28"/>
          <w:lang w:val="en-US" w:eastAsia="zh-CN"/>
          <w14:textFill>
            <w14:solidFill>
              <w14:schemeClr w14:val="tx1"/>
            </w14:solidFill>
          </w14:textFill>
        </w:rPr>
        <w:t>.1相关法律依据</w:t>
      </w:r>
      <w:bookmarkEnd w:id="10"/>
      <w:bookmarkEnd w:id="11"/>
      <w:bookmarkEnd w:id="12"/>
    </w:p>
    <w:p w14:paraId="33597248">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bookmarkStart w:id="14" w:name="_Toc28670"/>
      <w:bookmarkStart w:id="15" w:name="_Toc21732"/>
      <w:bookmarkStart w:id="16" w:name="_Toc26865"/>
      <w:bookmarkStart w:id="17" w:name="_Toc5560"/>
      <w:bookmarkStart w:id="18" w:name="_Toc19966"/>
      <w:bookmarkStart w:id="19" w:name="_Toc31525"/>
      <w:bookmarkStart w:id="20" w:name="_Toc24277"/>
      <w:bookmarkStart w:id="21" w:name="_Toc21136"/>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val="zh-CN"/>
          <w14:textFill>
            <w14:solidFill>
              <w14:schemeClr w14:val="tx1"/>
            </w14:solidFill>
          </w14:textFill>
        </w:rPr>
        <w:t>《中华人民共和国环境保护法》</w:t>
      </w:r>
      <w:r>
        <w:rPr>
          <w:rFonts w:hint="eastAsia" w:ascii="宋体" w:hAnsi="宋体" w:cs="仿宋"/>
          <w:color w:val="000000" w:themeColor="text1"/>
          <w:sz w:val="24"/>
          <w:szCs w:val="24"/>
          <w14:textFill>
            <w14:solidFill>
              <w14:schemeClr w14:val="tx1"/>
            </w14:solidFill>
          </w14:textFill>
        </w:rPr>
        <w:t>主席令第</w:t>
      </w:r>
      <w:r>
        <w:rPr>
          <w:rFonts w:hint="eastAsia" w:ascii="宋体" w:hAnsi="宋体" w:cs="仿宋"/>
          <w:color w:val="000000" w:themeColor="text1"/>
          <w:sz w:val="24"/>
          <w:szCs w:val="24"/>
          <w:lang w:val="en-US" w:eastAsia="zh-CN"/>
          <w14:textFill>
            <w14:solidFill>
              <w14:schemeClr w14:val="tx1"/>
            </w14:solidFill>
          </w14:textFill>
        </w:rPr>
        <w:t>9</w:t>
      </w:r>
      <w:r>
        <w:rPr>
          <w:rFonts w:hint="eastAsia" w:ascii="宋体" w:hAnsi="宋体" w:cs="仿宋"/>
          <w:color w:val="000000" w:themeColor="text1"/>
          <w:sz w:val="24"/>
          <w:szCs w:val="24"/>
          <w14:textFill>
            <w14:solidFill>
              <w14:schemeClr w14:val="tx1"/>
            </w14:solidFill>
          </w14:textFill>
        </w:rPr>
        <w:t>号2015</w:t>
      </w:r>
      <w:r>
        <w:rPr>
          <w:rFonts w:hint="eastAsia" w:ascii="宋体" w:hAnsi="宋体" w:cs="仿宋"/>
          <w:color w:val="000000" w:themeColor="text1"/>
          <w:sz w:val="24"/>
          <w:szCs w:val="24"/>
          <w:lang w:eastAsia="zh-CN"/>
          <w14:textFill>
            <w14:solidFill>
              <w14:schemeClr w14:val="tx1"/>
            </w14:solidFill>
          </w14:textFill>
        </w:rPr>
        <w:t>年</w:t>
      </w: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eastAsia="zh-CN"/>
          <w14:textFill>
            <w14:solidFill>
              <w14:schemeClr w14:val="tx1"/>
            </w14:solidFill>
          </w14:textFill>
        </w:rPr>
        <w:t>月</w:t>
      </w: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eastAsia="zh-CN"/>
          <w14:textFill>
            <w14:solidFill>
              <w14:schemeClr w14:val="tx1"/>
            </w14:solidFill>
          </w14:textFill>
        </w:rPr>
        <w:t>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5CE351B0">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（2）《中华人民共和国职业病防治法》主席令第52号20</w:t>
      </w:r>
      <w:r>
        <w:rPr>
          <w:rFonts w:hint="eastAsia" w:ascii="宋体" w:hAnsi="宋体" w:cs="仿宋"/>
          <w:color w:val="000000" w:themeColor="text1"/>
          <w:sz w:val="24"/>
          <w:szCs w:val="24"/>
          <w:lang w:val="en-US" w:eastAsia="zh-CN"/>
          <w14:textFill>
            <w14:solidFill>
              <w14:schemeClr w14:val="tx1"/>
            </w14:solidFill>
          </w14:textFill>
        </w:rPr>
        <w:t>18年</w:t>
      </w:r>
      <w:r>
        <w:rPr>
          <w:rFonts w:hint="eastAsia" w:ascii="宋体" w:hAnsi="宋体" w:cs="仿宋"/>
          <w:color w:val="000000" w:themeColor="text1"/>
          <w:sz w:val="24"/>
          <w:szCs w:val="24"/>
          <w14:textFill>
            <w14:solidFill>
              <w14:schemeClr w14:val="tx1"/>
            </w14:solidFill>
          </w14:textFill>
        </w:rPr>
        <w:t>12.</w:t>
      </w:r>
      <w:r>
        <w:rPr>
          <w:rFonts w:hint="eastAsia" w:ascii="宋体" w:hAnsi="宋体" w:cs="仿宋"/>
          <w:color w:val="000000" w:themeColor="text1"/>
          <w:sz w:val="24"/>
          <w:szCs w:val="24"/>
          <w:lang w:val="en-US" w:eastAsia="zh-CN"/>
          <w14:textFill>
            <w14:solidFill>
              <w14:schemeClr w14:val="tx1"/>
            </w14:solidFill>
          </w14:textFill>
        </w:rPr>
        <w:t>29日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514016B3">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（3）《中华人民共和国大气污染防治法》主席令第</w:t>
      </w:r>
      <w:r>
        <w:rPr>
          <w:rFonts w:hint="eastAsia" w:ascii="宋体" w:hAnsi="宋体" w:cs="仿宋"/>
          <w:color w:val="000000" w:themeColor="text1"/>
          <w:sz w:val="24"/>
          <w:szCs w:val="24"/>
          <w:lang w:val="en-US" w:eastAsia="zh-CN"/>
          <w14:textFill>
            <w14:solidFill>
              <w14:schemeClr w14:val="tx1"/>
            </w14:solidFill>
          </w14:textFill>
        </w:rPr>
        <w:t>16</w:t>
      </w:r>
      <w:r>
        <w:rPr>
          <w:rFonts w:hint="eastAsia" w:ascii="宋体" w:hAnsi="宋体" w:cs="仿宋"/>
          <w:color w:val="000000" w:themeColor="text1"/>
          <w:sz w:val="24"/>
          <w:szCs w:val="24"/>
          <w14:textFill>
            <w14:solidFill>
              <w14:schemeClr w14:val="tx1"/>
            </w14:solidFill>
          </w14:textFill>
        </w:rPr>
        <w:t>号201</w:t>
      </w:r>
      <w:r>
        <w:rPr>
          <w:rFonts w:hint="eastAsia" w:ascii="宋体" w:hAnsi="宋体" w:cs="仿宋"/>
          <w:color w:val="000000" w:themeColor="text1"/>
          <w:sz w:val="24"/>
          <w:szCs w:val="24"/>
          <w:lang w:val="en-US" w:eastAsia="zh-CN"/>
          <w14:textFill>
            <w14:solidFill>
              <w14:schemeClr w14:val="tx1"/>
            </w14:solidFill>
          </w14:textFill>
        </w:rPr>
        <w:t>8年</w:t>
      </w: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val="en-US" w:eastAsia="zh-CN"/>
          <w14:textFill>
            <w14:solidFill>
              <w14:schemeClr w14:val="tx1"/>
            </w14:solidFill>
          </w14:textFill>
        </w:rPr>
        <w:t>0月26日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6B82FC2B">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（4）《中华人民共和国水污染防治法》主席令第87号20</w:t>
      </w:r>
      <w:r>
        <w:rPr>
          <w:rFonts w:hint="eastAsia" w:ascii="宋体" w:hAnsi="宋体" w:cs="仿宋"/>
          <w:color w:val="000000" w:themeColor="text1"/>
          <w:sz w:val="24"/>
          <w:szCs w:val="24"/>
          <w:lang w:val="en-US" w:eastAsia="zh-CN"/>
          <w14:textFill>
            <w14:solidFill>
              <w14:schemeClr w14:val="tx1"/>
            </w14:solidFill>
          </w14:textFill>
        </w:rPr>
        <w:t>18</w:t>
      </w:r>
      <w:r>
        <w:rPr>
          <w:rFonts w:hint="eastAsia" w:ascii="宋体" w:hAnsi="宋体" w:cs="仿宋"/>
          <w:color w:val="000000" w:themeColor="text1"/>
          <w:sz w:val="24"/>
          <w:szCs w:val="24"/>
          <w14:textFill>
            <w14:solidFill>
              <w14:schemeClr w14:val="tx1"/>
            </w14:solidFill>
          </w14:textFill>
        </w:rPr>
        <w:t>年</w:t>
      </w:r>
      <w:r>
        <w:rPr>
          <w:rFonts w:hint="eastAsia" w:ascii="宋体" w:hAnsi="宋体" w:cs="仿宋"/>
          <w:color w:val="000000" w:themeColor="text1"/>
          <w:sz w:val="24"/>
          <w:szCs w:val="24"/>
          <w:lang w:val="en-US" w:eastAsia="zh-CN"/>
          <w14:textFill>
            <w14:solidFill>
              <w14:schemeClr w14:val="tx1"/>
            </w14:solidFill>
          </w14:textFill>
        </w:rPr>
        <w:t>1月</w:t>
      </w: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eastAsia="zh-CN"/>
          <w14:textFill>
            <w14:solidFill>
              <w14:schemeClr w14:val="tx1"/>
            </w14:solidFill>
          </w14:textFill>
        </w:rPr>
        <w:t>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68244C74">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（5）《中华人民共和国固体废物污染</w:t>
      </w:r>
      <w:r>
        <w:rPr>
          <w:rFonts w:hint="eastAsia" w:ascii="宋体" w:hAnsi="宋体" w:cs="仿宋"/>
          <w:color w:val="000000" w:themeColor="text1"/>
          <w:sz w:val="24"/>
          <w:szCs w:val="24"/>
          <w:lang w:val="en-US" w:eastAsia="zh-CN"/>
          <w14:textFill>
            <w14:solidFill>
              <w14:schemeClr w14:val="tx1"/>
            </w14:solidFill>
          </w14:textFill>
        </w:rPr>
        <w:t>环境</w:t>
      </w:r>
      <w:r>
        <w:rPr>
          <w:rFonts w:hint="eastAsia" w:ascii="宋体" w:hAnsi="宋体" w:cs="仿宋"/>
          <w:color w:val="000000" w:themeColor="text1"/>
          <w:sz w:val="24"/>
          <w:szCs w:val="24"/>
          <w14:textFill>
            <w14:solidFill>
              <w14:schemeClr w14:val="tx1"/>
            </w14:solidFill>
          </w14:textFill>
        </w:rPr>
        <w:t>防治法》</w:t>
      </w:r>
      <w:r>
        <w:rPr>
          <w:rFonts w:hint="eastAsia" w:ascii="宋体" w:hAnsi="宋体" w:cs="仿宋"/>
          <w:color w:val="000000" w:themeColor="text1"/>
          <w:sz w:val="24"/>
          <w:szCs w:val="24"/>
          <w:lang w:val="en-US" w:eastAsia="zh-CN"/>
          <w14:textFill>
            <w14:solidFill>
              <w14:schemeClr w14:val="tx1"/>
            </w14:solidFill>
          </w14:textFill>
        </w:rPr>
        <w:t>2020年9月1日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13D31963">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（6）</w:t>
      </w:r>
      <w:r>
        <w:rPr>
          <w:rFonts w:hint="eastAsia" w:ascii="宋体" w:hAnsi="宋体" w:cs="仿宋"/>
          <w:color w:val="000000" w:themeColor="text1"/>
          <w:sz w:val="24"/>
          <w:szCs w:val="24"/>
          <w:lang w:val="zh-CN"/>
          <w14:textFill>
            <w14:solidFill>
              <w14:schemeClr w14:val="tx1"/>
            </w14:solidFill>
          </w14:textFill>
        </w:rPr>
        <w:t>《中华人民共和国消防法》</w:t>
      </w:r>
      <w:r>
        <w:rPr>
          <w:rFonts w:hint="eastAsia" w:ascii="宋体" w:hAnsi="宋体" w:cs="仿宋"/>
          <w:color w:val="000000" w:themeColor="text1"/>
          <w:sz w:val="24"/>
          <w:szCs w:val="24"/>
          <w14:textFill>
            <w14:solidFill>
              <w14:schemeClr w14:val="tx1"/>
            </w14:solidFill>
          </w14:textFill>
        </w:rPr>
        <w:t>主席令第</w:t>
      </w:r>
      <w:r>
        <w:rPr>
          <w:rFonts w:hint="eastAsia" w:ascii="宋体" w:hAnsi="宋体" w:cs="仿宋"/>
          <w:color w:val="000000" w:themeColor="text1"/>
          <w:sz w:val="24"/>
          <w:szCs w:val="24"/>
          <w:lang w:val="en-US" w:eastAsia="zh-CN"/>
          <w14:textFill>
            <w14:solidFill>
              <w14:schemeClr w14:val="tx1"/>
            </w14:solidFill>
          </w14:textFill>
        </w:rPr>
        <w:t>29</w:t>
      </w:r>
      <w:r>
        <w:rPr>
          <w:rFonts w:hint="eastAsia" w:ascii="宋体" w:hAnsi="宋体" w:cs="仿宋"/>
          <w:color w:val="000000" w:themeColor="text1"/>
          <w:sz w:val="24"/>
          <w:szCs w:val="24"/>
          <w14:textFill>
            <w14:solidFill>
              <w14:schemeClr w14:val="tx1"/>
            </w14:solidFill>
          </w14:textFill>
        </w:rPr>
        <w:t>号20</w:t>
      </w:r>
      <w:r>
        <w:rPr>
          <w:rFonts w:hint="eastAsia" w:ascii="宋体" w:hAnsi="宋体" w:cs="仿宋"/>
          <w:color w:val="000000" w:themeColor="text1"/>
          <w:sz w:val="24"/>
          <w:szCs w:val="24"/>
          <w:lang w:val="en-US" w:eastAsia="zh-CN"/>
          <w14:textFill>
            <w14:solidFill>
              <w14:schemeClr w14:val="tx1"/>
            </w14:solidFill>
          </w14:textFill>
        </w:rPr>
        <w:t>19年4月23日修订版；</w:t>
      </w:r>
    </w:p>
    <w:p w14:paraId="458F6C03">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（7）</w:t>
      </w:r>
      <w:r>
        <w:rPr>
          <w:rFonts w:hint="eastAsia" w:ascii="宋体" w:hAnsi="宋体" w:cs="仿宋"/>
          <w:color w:val="000000" w:themeColor="text1"/>
          <w:sz w:val="24"/>
          <w:szCs w:val="24"/>
          <w:lang w:val="zh-CN"/>
          <w14:textFill>
            <w14:solidFill>
              <w14:schemeClr w14:val="tx1"/>
            </w14:solidFill>
          </w14:textFill>
        </w:rPr>
        <w:t>《中华人民共和国安全生产法》</w:t>
      </w:r>
      <w:r>
        <w:rPr>
          <w:rFonts w:hint="eastAsia" w:ascii="宋体" w:hAnsi="宋体" w:cs="仿宋"/>
          <w:color w:val="000000" w:themeColor="text1"/>
          <w:sz w:val="24"/>
          <w:szCs w:val="24"/>
          <w:lang w:eastAsia="zh-CN"/>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2021修正版</w:t>
      </w:r>
      <w:r>
        <w:rPr>
          <w:rFonts w:hint="eastAsia" w:ascii="宋体" w:hAnsi="宋体" w:cs="仿宋"/>
          <w:color w:val="000000" w:themeColor="text1"/>
          <w:sz w:val="24"/>
          <w:szCs w:val="24"/>
          <w:lang w:eastAsia="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20</w:t>
      </w:r>
      <w:r>
        <w:rPr>
          <w:rFonts w:hint="eastAsia" w:ascii="宋体" w:hAnsi="宋体" w:cs="仿宋"/>
          <w:color w:val="000000" w:themeColor="text1"/>
          <w:sz w:val="24"/>
          <w:szCs w:val="24"/>
          <w:lang w:val="en-US" w:eastAsia="zh-CN"/>
          <w14:textFill>
            <w14:solidFill>
              <w14:schemeClr w14:val="tx1"/>
            </w14:solidFill>
          </w14:textFill>
        </w:rPr>
        <w:t>21</w:t>
      </w:r>
      <w:r>
        <w:rPr>
          <w:rFonts w:hint="eastAsia" w:ascii="宋体" w:hAnsi="宋体" w:cs="仿宋"/>
          <w:color w:val="000000" w:themeColor="text1"/>
          <w:sz w:val="24"/>
          <w:szCs w:val="24"/>
          <w:lang w:eastAsia="zh-CN"/>
          <w14:textFill>
            <w14:solidFill>
              <w14:schemeClr w14:val="tx1"/>
            </w14:solidFill>
          </w14:textFill>
        </w:rPr>
        <w:t>年</w:t>
      </w:r>
      <w:r>
        <w:rPr>
          <w:rFonts w:hint="eastAsia" w:ascii="宋体" w:hAnsi="宋体" w:cs="仿宋"/>
          <w:color w:val="000000" w:themeColor="text1"/>
          <w:sz w:val="24"/>
          <w:szCs w:val="24"/>
          <w:lang w:val="en-US" w:eastAsia="zh-CN"/>
          <w14:textFill>
            <w14:solidFill>
              <w14:schemeClr w14:val="tx1"/>
            </w14:solidFill>
          </w14:textFill>
        </w:rPr>
        <w:t>09</w:t>
      </w:r>
      <w:r>
        <w:rPr>
          <w:rFonts w:hint="eastAsia" w:ascii="宋体" w:hAnsi="宋体" w:cs="仿宋"/>
          <w:color w:val="000000" w:themeColor="text1"/>
          <w:sz w:val="24"/>
          <w:szCs w:val="24"/>
          <w:lang w:eastAsia="zh-CN"/>
          <w14:textFill>
            <w14:solidFill>
              <w14:schemeClr w14:val="tx1"/>
            </w14:solidFill>
          </w14:textFill>
        </w:rPr>
        <w:t>月</w:t>
      </w:r>
      <w:r>
        <w:rPr>
          <w:rFonts w:hint="eastAsia" w:ascii="宋体" w:hAnsi="宋体" w:cs="仿宋"/>
          <w:color w:val="000000" w:themeColor="text1"/>
          <w:sz w:val="24"/>
          <w:szCs w:val="24"/>
          <w:lang w:val="en-US" w:eastAsia="zh-CN"/>
          <w14:textFill>
            <w14:solidFill>
              <w14:schemeClr w14:val="tx1"/>
            </w14:solidFill>
          </w14:textFill>
        </w:rPr>
        <w:t>01</w:t>
      </w:r>
      <w:r>
        <w:rPr>
          <w:rFonts w:hint="eastAsia" w:ascii="宋体" w:hAnsi="宋体" w:cs="仿宋"/>
          <w:color w:val="000000" w:themeColor="text1"/>
          <w:sz w:val="24"/>
          <w:szCs w:val="24"/>
          <w:lang w:eastAsia="zh-CN"/>
          <w14:textFill>
            <w14:solidFill>
              <w14:schemeClr w14:val="tx1"/>
            </w14:solidFill>
          </w14:textFill>
        </w:rPr>
        <w:t>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648A383E">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（8）</w:t>
      </w:r>
      <w:r>
        <w:rPr>
          <w:rFonts w:hint="eastAsia" w:ascii="宋体" w:hAnsi="宋体" w:cs="仿宋"/>
          <w:color w:val="000000" w:themeColor="text1"/>
          <w:sz w:val="24"/>
          <w:szCs w:val="24"/>
          <w:lang w:val="zh-CN"/>
          <w14:textFill>
            <w14:solidFill>
              <w14:schemeClr w14:val="tx1"/>
            </w14:solidFill>
          </w14:textFill>
        </w:rPr>
        <w:t>《中华人民共和国环境影响评价法》</w:t>
      </w:r>
      <w:r>
        <w:rPr>
          <w:rFonts w:hint="eastAsia" w:ascii="宋体" w:hAnsi="宋体" w:cs="仿宋"/>
          <w:color w:val="000000" w:themeColor="text1"/>
          <w:sz w:val="24"/>
          <w:szCs w:val="24"/>
          <w14:textFill>
            <w14:solidFill>
              <w14:schemeClr w14:val="tx1"/>
            </w14:solidFill>
          </w14:textFill>
        </w:rPr>
        <w:t>201</w:t>
      </w:r>
      <w:r>
        <w:rPr>
          <w:rFonts w:hint="eastAsia" w:ascii="宋体" w:hAnsi="宋体" w:cs="仿宋"/>
          <w:color w:val="000000" w:themeColor="text1"/>
          <w:sz w:val="24"/>
          <w:szCs w:val="24"/>
          <w:lang w:val="en-US" w:eastAsia="zh-CN"/>
          <w14:textFill>
            <w14:solidFill>
              <w14:schemeClr w14:val="tx1"/>
            </w14:solidFill>
          </w14:textFill>
        </w:rPr>
        <w:t>8年12月2</w:t>
      </w:r>
      <w:r>
        <w:rPr>
          <w:rFonts w:hint="eastAsia" w:ascii="宋体" w:hAnsi="宋体" w:cs="仿宋"/>
          <w:color w:val="000000" w:themeColor="text1"/>
          <w:sz w:val="24"/>
          <w:szCs w:val="24"/>
          <w14:textFill>
            <w14:solidFill>
              <w14:schemeClr w14:val="tx1"/>
            </w14:solidFill>
          </w14:textFill>
        </w:rPr>
        <w:t>9</w:t>
      </w:r>
      <w:r>
        <w:rPr>
          <w:rFonts w:hint="eastAsia" w:ascii="宋体" w:hAnsi="宋体" w:cs="仿宋"/>
          <w:color w:val="000000" w:themeColor="text1"/>
          <w:sz w:val="24"/>
          <w:szCs w:val="24"/>
          <w:lang w:eastAsia="zh-CN"/>
          <w14:textFill>
            <w14:solidFill>
              <w14:schemeClr w14:val="tx1"/>
            </w14:solidFill>
          </w14:textFill>
        </w:rPr>
        <w:t>日修订版；</w:t>
      </w:r>
    </w:p>
    <w:p w14:paraId="58104F6E">
      <w:pPr>
        <w:pStyle w:val="40"/>
        <w:snapToGrid w:val="0"/>
        <w:spacing w:line="360" w:lineRule="auto"/>
        <w:ind w:firstLine="560"/>
        <w:rPr>
          <w:rFonts w:hint="eastAsia" w:ascii="宋体" w:hAnsi="宋体" w:eastAsia="宋体" w:cs="仿宋"/>
          <w:color w:val="000000" w:themeColor="text1"/>
          <w:sz w:val="24"/>
          <w:szCs w:val="24"/>
          <w:lang w:val="zh-CN" w:eastAsia="zh-CN"/>
          <w14:textFill>
            <w14:solidFill>
              <w14:schemeClr w14:val="tx1"/>
            </w14:solidFill>
          </w14:textFill>
        </w:rPr>
      </w:pP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9</w:t>
      </w:r>
      <w:r>
        <w:rPr>
          <w:rFonts w:hint="eastAsia" w:ascii="宋体" w:hAnsi="宋体" w:cs="仿宋"/>
          <w:color w:val="000000" w:themeColor="text1"/>
          <w:sz w:val="24"/>
          <w:szCs w:val="24"/>
          <w:lang w:val="zh-CN"/>
          <w14:textFill>
            <w14:solidFill>
              <w14:schemeClr w14:val="tx1"/>
            </w14:solidFill>
          </w14:textFill>
        </w:rPr>
        <w:t>）《中华人民共和国突发事件应对法》主席令第69号2007年</w:t>
      </w:r>
      <w:r>
        <w:rPr>
          <w:rFonts w:hint="eastAsia" w:ascii="宋体" w:hAnsi="宋体" w:cs="仿宋"/>
          <w:color w:val="000000" w:themeColor="text1"/>
          <w:sz w:val="24"/>
          <w:szCs w:val="24"/>
          <w14:textFill>
            <w14:solidFill>
              <w14:schemeClr w14:val="tx1"/>
            </w14:solidFill>
          </w14:textFill>
        </w:rPr>
        <w:t>11</w:t>
      </w:r>
      <w:r>
        <w:rPr>
          <w:rFonts w:hint="eastAsia" w:ascii="宋体" w:hAnsi="宋体" w:cs="仿宋"/>
          <w:color w:val="000000" w:themeColor="text1"/>
          <w:sz w:val="24"/>
          <w:szCs w:val="24"/>
          <w:lang w:eastAsia="zh-CN"/>
          <w14:textFill>
            <w14:solidFill>
              <w14:schemeClr w14:val="tx1"/>
            </w14:solidFill>
          </w14:textFill>
        </w:rPr>
        <w:t>月</w:t>
      </w: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eastAsia="zh-CN"/>
          <w14:textFill>
            <w14:solidFill>
              <w14:schemeClr w14:val="tx1"/>
            </w14:solidFill>
          </w14:textFill>
        </w:rPr>
        <w:t>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4D2DCD86">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10</w:t>
      </w:r>
      <w:r>
        <w:rPr>
          <w:rFonts w:hint="eastAsia" w:ascii="宋体" w:hAnsi="宋体" w:cs="仿宋"/>
          <w:color w:val="000000" w:themeColor="text1"/>
          <w:sz w:val="24"/>
          <w:szCs w:val="24"/>
          <w:lang w:val="zh-CN"/>
          <w14:textFill>
            <w14:solidFill>
              <w14:schemeClr w14:val="tx1"/>
            </w14:solidFill>
          </w14:textFill>
        </w:rPr>
        <w:t>）《国家突发公共卫生事件应急预案》</w:t>
      </w:r>
      <w:r>
        <w:rPr>
          <w:rFonts w:hint="eastAsia" w:ascii="宋体" w:hAnsi="宋体" w:cs="仿宋"/>
          <w:color w:val="000000" w:themeColor="text1"/>
          <w:sz w:val="24"/>
          <w:szCs w:val="24"/>
          <w14:textFill>
            <w14:solidFill>
              <w14:schemeClr w14:val="tx1"/>
            </w14:solidFill>
          </w14:textFill>
        </w:rPr>
        <w:t>2006</w:t>
      </w:r>
      <w:r>
        <w:rPr>
          <w:rFonts w:hint="eastAsia" w:ascii="宋体" w:hAnsi="宋体" w:cs="仿宋"/>
          <w:color w:val="000000" w:themeColor="text1"/>
          <w:sz w:val="24"/>
          <w:szCs w:val="24"/>
          <w:lang w:val="zh-CN"/>
          <w14:textFill>
            <w14:solidFill>
              <w14:schemeClr w14:val="tx1"/>
            </w14:solidFill>
          </w14:textFill>
        </w:rPr>
        <w:t>年</w:t>
      </w:r>
      <w:r>
        <w:rPr>
          <w:rFonts w:hint="eastAsia" w:ascii="宋体" w:hAnsi="宋体" w:cs="仿宋"/>
          <w:color w:val="000000" w:themeColor="text1"/>
          <w:sz w:val="24"/>
          <w:szCs w:val="24"/>
          <w14:textFill>
            <w14:solidFill>
              <w14:schemeClr w14:val="tx1"/>
            </w14:solidFill>
          </w14:textFill>
        </w:rPr>
        <w:t>2</w:t>
      </w:r>
      <w:r>
        <w:rPr>
          <w:rFonts w:hint="eastAsia" w:ascii="宋体" w:hAnsi="宋体" w:cs="仿宋"/>
          <w:color w:val="000000" w:themeColor="text1"/>
          <w:sz w:val="24"/>
          <w:szCs w:val="24"/>
          <w:lang w:val="zh-CN"/>
          <w14:textFill>
            <w14:solidFill>
              <w14:schemeClr w14:val="tx1"/>
            </w14:solidFill>
          </w14:textFill>
        </w:rPr>
        <w:t>月实施；</w:t>
      </w:r>
    </w:p>
    <w:p w14:paraId="53068527">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（11）</w:t>
      </w:r>
      <w:r>
        <w:rPr>
          <w:rFonts w:hint="eastAsia" w:ascii="宋体" w:hAnsi="宋体" w:cs="仿宋"/>
          <w:color w:val="000000" w:themeColor="text1"/>
          <w:sz w:val="24"/>
          <w:szCs w:val="24"/>
          <w:lang w:val="zh-CN"/>
          <w14:textFill>
            <w14:solidFill>
              <w14:schemeClr w14:val="tx1"/>
            </w14:solidFill>
          </w14:textFill>
        </w:rPr>
        <w:t>《国家突发环境事件应急预案》</w:t>
      </w:r>
      <w:r>
        <w:rPr>
          <w:rFonts w:hint="eastAsia" w:ascii="宋体" w:hAnsi="宋体" w:cs="仿宋"/>
          <w:color w:val="000000" w:themeColor="text1"/>
          <w:sz w:val="24"/>
          <w:szCs w:val="24"/>
          <w14:textFill>
            <w14:solidFill>
              <w14:schemeClr w14:val="tx1"/>
            </w14:solidFill>
          </w14:textFill>
        </w:rPr>
        <w:t>2014年12月</w:t>
      </w:r>
      <w:r>
        <w:rPr>
          <w:rFonts w:hint="eastAsia" w:ascii="宋体" w:hAnsi="宋体" w:cs="仿宋"/>
          <w:color w:val="000000" w:themeColor="text1"/>
          <w:sz w:val="24"/>
          <w:szCs w:val="24"/>
          <w:lang w:val="en-US" w:eastAsia="zh-CN"/>
          <w14:textFill>
            <w14:solidFill>
              <w14:schemeClr w14:val="tx1"/>
            </w14:solidFill>
          </w14:textFill>
        </w:rPr>
        <w:t>29日</w:t>
      </w:r>
      <w:r>
        <w:rPr>
          <w:rFonts w:hint="eastAsia" w:ascii="宋体" w:hAnsi="宋体" w:cs="仿宋"/>
          <w:color w:val="000000" w:themeColor="text1"/>
          <w:sz w:val="24"/>
          <w:szCs w:val="24"/>
          <w14:textFill>
            <w14:solidFill>
              <w14:schemeClr w14:val="tx1"/>
            </w14:solidFill>
          </w14:textFill>
        </w:rPr>
        <w:t>实施</w:t>
      </w:r>
      <w:r>
        <w:rPr>
          <w:rFonts w:hint="eastAsia" w:ascii="宋体" w:hAnsi="宋体" w:cs="仿宋"/>
          <w:color w:val="000000" w:themeColor="text1"/>
          <w:sz w:val="24"/>
          <w:szCs w:val="24"/>
          <w:lang w:eastAsia="zh-CN"/>
          <w14:textFill>
            <w14:solidFill>
              <w14:schemeClr w14:val="tx1"/>
            </w14:solidFill>
          </w14:textFill>
        </w:rPr>
        <w:t>；</w:t>
      </w:r>
    </w:p>
    <w:p w14:paraId="6655F041">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（12）</w:t>
      </w:r>
      <w:r>
        <w:rPr>
          <w:rFonts w:hint="eastAsia" w:ascii="宋体" w:hAnsi="宋体" w:cs="仿宋"/>
          <w:color w:val="000000" w:themeColor="text1"/>
          <w:sz w:val="24"/>
          <w:szCs w:val="24"/>
          <w:lang w:val="zh-CN"/>
          <w14:textFill>
            <w14:solidFill>
              <w14:schemeClr w14:val="tx1"/>
            </w14:solidFill>
          </w14:textFill>
        </w:rPr>
        <w:t>《中华人民共和国水法》（</w:t>
      </w:r>
      <w:r>
        <w:rPr>
          <w:rFonts w:hint="eastAsia" w:ascii="宋体" w:hAnsi="宋体" w:cs="仿宋"/>
          <w:color w:val="000000" w:themeColor="text1"/>
          <w:sz w:val="24"/>
          <w:szCs w:val="24"/>
          <w:lang w:val="en-US" w:eastAsia="zh-CN"/>
          <w14:textFill>
            <w14:solidFill>
              <w14:schemeClr w14:val="tx1"/>
            </w14:solidFill>
          </w14:textFill>
        </w:rPr>
        <w:t>2016年修订</w:t>
      </w: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20</w:t>
      </w:r>
      <w:r>
        <w:rPr>
          <w:rFonts w:hint="eastAsia" w:ascii="宋体" w:hAnsi="宋体" w:cs="仿宋"/>
          <w:color w:val="000000" w:themeColor="text1"/>
          <w:sz w:val="24"/>
          <w:szCs w:val="24"/>
          <w:lang w:val="en-US" w:eastAsia="zh-CN"/>
          <w14:textFill>
            <w14:solidFill>
              <w14:schemeClr w14:val="tx1"/>
            </w14:solidFill>
          </w14:textFill>
        </w:rPr>
        <w:t>16</w:t>
      </w:r>
      <w:r>
        <w:rPr>
          <w:rFonts w:hint="eastAsia" w:ascii="宋体" w:hAnsi="宋体" w:cs="仿宋"/>
          <w:color w:val="000000" w:themeColor="text1"/>
          <w:sz w:val="24"/>
          <w:szCs w:val="24"/>
          <w:lang w:val="zh-CN"/>
          <w14:textFill>
            <w14:solidFill>
              <w14:schemeClr w14:val="tx1"/>
            </w14:solidFill>
          </w14:textFill>
        </w:rPr>
        <w:t>年</w:t>
      </w:r>
      <w:r>
        <w:rPr>
          <w:rFonts w:hint="eastAsia" w:ascii="宋体" w:hAnsi="宋体" w:cs="仿宋"/>
          <w:color w:val="000000" w:themeColor="text1"/>
          <w:sz w:val="24"/>
          <w:szCs w:val="24"/>
          <w:lang w:val="en-US" w:eastAsia="zh-CN"/>
          <w14:textFill>
            <w14:solidFill>
              <w14:schemeClr w14:val="tx1"/>
            </w14:solidFill>
          </w14:textFill>
        </w:rPr>
        <w:t>7</w:t>
      </w:r>
      <w:r>
        <w:rPr>
          <w:rFonts w:hint="eastAsia" w:ascii="宋体" w:hAnsi="宋体" w:cs="仿宋"/>
          <w:color w:val="000000" w:themeColor="text1"/>
          <w:sz w:val="24"/>
          <w:szCs w:val="24"/>
          <w:lang w:val="zh-CN"/>
          <w14:textFill>
            <w14:solidFill>
              <w14:schemeClr w14:val="tx1"/>
            </w14:solidFill>
          </w14:textFill>
        </w:rPr>
        <w:t>月</w:t>
      </w:r>
      <w:r>
        <w:rPr>
          <w:rFonts w:hint="eastAsia" w:ascii="宋体" w:hAnsi="宋体" w:cs="仿宋"/>
          <w:color w:val="000000" w:themeColor="text1"/>
          <w:sz w:val="24"/>
          <w:szCs w:val="24"/>
          <w:lang w:val="en-US" w:eastAsia="zh-CN"/>
          <w14:textFill>
            <w14:solidFill>
              <w14:schemeClr w14:val="tx1"/>
            </w14:solidFill>
          </w14:textFill>
        </w:rPr>
        <w:t>2日实施；</w:t>
      </w:r>
    </w:p>
    <w:p w14:paraId="1328C71D">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（13）</w:t>
      </w: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国家危险废物名录</w:t>
      </w: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2025年版；</w:t>
      </w:r>
    </w:p>
    <w:p w14:paraId="28C425DB">
      <w:pPr>
        <w:pStyle w:val="40"/>
        <w:snapToGrid w:val="0"/>
        <w:spacing w:line="360" w:lineRule="auto"/>
        <w:ind w:firstLine="560"/>
        <w:rPr>
          <w:rFonts w:hint="default" w:ascii="宋体" w:hAnsi="宋体" w:eastAsia="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（14）《突发环境事件信息报告办法》</w:t>
      </w:r>
      <w:r>
        <w:rPr>
          <w:rFonts w:hint="eastAsia" w:ascii="宋体" w:hAnsi="宋体" w:cs="仿宋"/>
          <w:color w:val="000000" w:themeColor="text1"/>
          <w:sz w:val="24"/>
          <w:szCs w:val="24"/>
          <w:lang w:val="en-US" w:eastAsia="zh-CN"/>
          <w14:textFill>
            <w14:solidFill>
              <w14:schemeClr w14:val="tx1"/>
            </w14:solidFill>
          </w14:textFill>
        </w:rPr>
        <w:t>2011年5月1日实施；</w:t>
      </w:r>
    </w:p>
    <w:p w14:paraId="46AA376F">
      <w:pPr>
        <w:pStyle w:val="40"/>
        <w:snapToGrid w:val="0"/>
        <w:spacing w:line="360" w:lineRule="auto"/>
        <w:ind w:firstLine="560"/>
        <w:rPr>
          <w:rFonts w:hint="eastAsia" w:ascii="宋体" w:hAnsi="宋体" w:cs="仿宋"/>
          <w:color w:val="000000" w:themeColor="text1"/>
          <w:sz w:val="24"/>
          <w:szCs w:val="24"/>
          <w:lang w:val="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（15）</w:t>
      </w:r>
      <w:r>
        <w:rPr>
          <w:rFonts w:hint="eastAsia" w:ascii="宋体" w:hAnsi="宋体" w:cs="仿宋"/>
          <w:color w:val="000000" w:themeColor="text1"/>
          <w:sz w:val="24"/>
          <w:szCs w:val="24"/>
          <w:lang w:val="zh-CN"/>
          <w14:textFill>
            <w14:solidFill>
              <w14:schemeClr w14:val="tx1"/>
            </w14:solidFill>
          </w14:textFill>
        </w:rPr>
        <w:t>《建设</w:t>
      </w:r>
      <w:r>
        <w:rPr>
          <w:rFonts w:hint="eastAsia" w:ascii="宋体" w:hAnsi="宋体" w:cs="仿宋"/>
          <w:color w:val="000000" w:themeColor="text1"/>
          <w:sz w:val="24"/>
          <w:szCs w:val="24"/>
          <w:lang w:val="en-US" w:eastAsia="zh-CN"/>
          <w14:textFill>
            <w14:solidFill>
              <w14:schemeClr w14:val="tx1"/>
            </w14:solidFill>
          </w14:textFill>
        </w:rPr>
        <w:t>公司</w:t>
      </w:r>
      <w:r>
        <w:rPr>
          <w:rFonts w:hint="eastAsia" w:ascii="宋体" w:hAnsi="宋体" w:cs="仿宋"/>
          <w:color w:val="000000" w:themeColor="text1"/>
          <w:sz w:val="24"/>
          <w:szCs w:val="24"/>
          <w:lang w:val="zh-CN"/>
          <w14:textFill>
            <w14:solidFill>
              <w14:schemeClr w14:val="tx1"/>
            </w14:solidFill>
          </w14:textFill>
        </w:rPr>
        <w:t>环境保护管理条例》国务院令第</w:t>
      </w:r>
      <w:r>
        <w:rPr>
          <w:rFonts w:hint="eastAsia" w:ascii="宋体" w:hAnsi="宋体" w:cs="仿宋"/>
          <w:color w:val="000000" w:themeColor="text1"/>
          <w:sz w:val="24"/>
          <w:szCs w:val="24"/>
          <w:lang w:val="en-US" w:eastAsia="zh-CN"/>
          <w14:textFill>
            <w14:solidFill>
              <w14:schemeClr w14:val="tx1"/>
            </w14:solidFill>
          </w14:textFill>
        </w:rPr>
        <w:t>682</w:t>
      </w:r>
      <w:r>
        <w:rPr>
          <w:rFonts w:hint="eastAsia" w:ascii="宋体" w:hAnsi="宋体" w:cs="仿宋"/>
          <w:color w:val="000000" w:themeColor="text1"/>
          <w:sz w:val="24"/>
          <w:szCs w:val="24"/>
          <w:lang w:val="zh-CN"/>
          <w14:textFill>
            <w14:solidFill>
              <w14:schemeClr w14:val="tx1"/>
            </w14:solidFill>
          </w14:textFill>
        </w:rPr>
        <w:t>号</w:t>
      </w:r>
      <w:r>
        <w:rPr>
          <w:rFonts w:hint="eastAsia" w:ascii="宋体" w:hAnsi="宋体" w:cs="仿宋"/>
          <w:color w:val="000000" w:themeColor="text1"/>
          <w:sz w:val="24"/>
          <w:szCs w:val="24"/>
          <w:lang w:val="en-US" w:eastAsia="zh-CN"/>
          <w14:textFill>
            <w14:solidFill>
              <w14:schemeClr w14:val="tx1"/>
            </w14:solidFill>
          </w14:textFill>
        </w:rPr>
        <w:t>2017年10月1日实施；</w:t>
      </w:r>
    </w:p>
    <w:p w14:paraId="061CEA0B">
      <w:pPr>
        <w:pStyle w:val="40"/>
        <w:snapToGrid w:val="0"/>
        <w:spacing w:line="360" w:lineRule="auto"/>
        <w:ind w:firstLine="560"/>
        <w:rPr>
          <w:rFonts w:hint="default" w:ascii="宋体" w:hAnsi="宋体" w:eastAsia="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val="en-US" w:eastAsia="zh-CN"/>
          <w14:textFill>
            <w14:solidFill>
              <w14:schemeClr w14:val="tx1"/>
            </w14:solidFill>
          </w14:textFill>
        </w:rPr>
        <w:t>6</w:t>
      </w:r>
      <w:r>
        <w:rPr>
          <w:rFonts w:hint="eastAsia" w:ascii="宋体" w:hAnsi="宋体" w:cs="仿宋"/>
          <w:color w:val="000000" w:themeColor="text1"/>
          <w:sz w:val="24"/>
          <w:szCs w:val="24"/>
          <w14:textFill>
            <w14:solidFill>
              <w14:schemeClr w14:val="tx1"/>
            </w14:solidFill>
          </w14:textFill>
        </w:rPr>
        <w:t>）《企业事业单位突发环境事件应急预案备案管理办法(试行)》(环发〔2015〕4号)</w:t>
      </w:r>
      <w:r>
        <w:rPr>
          <w:rFonts w:hint="eastAsia" w:ascii="宋体" w:hAnsi="宋体" w:cs="仿宋"/>
          <w:color w:val="000000" w:themeColor="text1"/>
          <w:sz w:val="24"/>
          <w:szCs w:val="24"/>
          <w:lang w:val="en-US" w:eastAsia="zh-CN"/>
          <w14:textFill>
            <w14:solidFill>
              <w14:schemeClr w14:val="tx1"/>
            </w14:solidFill>
          </w14:textFill>
        </w:rPr>
        <w:t>2015年1月8日实施；</w:t>
      </w:r>
    </w:p>
    <w:p w14:paraId="6D65F016">
      <w:pPr>
        <w:pStyle w:val="40"/>
        <w:snapToGrid w:val="0"/>
        <w:spacing w:line="360" w:lineRule="auto"/>
        <w:ind w:firstLine="560"/>
        <w:rPr>
          <w:rFonts w:hint="default" w:ascii="宋体" w:hAnsi="宋体" w:eastAsia="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17</w:t>
      </w: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《危险化学品安全管理条例》（国务院令第</w:t>
      </w:r>
      <w:r>
        <w:rPr>
          <w:rFonts w:hint="eastAsia" w:ascii="宋体" w:hAnsi="宋体" w:cs="仿宋"/>
          <w:color w:val="000000" w:themeColor="text1"/>
          <w:sz w:val="24"/>
          <w:szCs w:val="24"/>
          <w:lang w:val="en-US" w:eastAsia="zh-CN"/>
          <w14:textFill>
            <w14:solidFill>
              <w14:schemeClr w14:val="tx1"/>
            </w14:solidFill>
          </w14:textFill>
        </w:rPr>
        <w:t>344</w:t>
      </w:r>
      <w:r>
        <w:rPr>
          <w:rFonts w:hint="eastAsia" w:ascii="宋体" w:hAnsi="宋体" w:cs="仿宋"/>
          <w:color w:val="000000" w:themeColor="text1"/>
          <w:sz w:val="24"/>
          <w:szCs w:val="24"/>
          <w14:textFill>
            <w14:solidFill>
              <w14:schemeClr w14:val="tx1"/>
            </w14:solidFill>
          </w14:textFill>
        </w:rPr>
        <w:t>号）</w:t>
      </w:r>
      <w:r>
        <w:rPr>
          <w:rFonts w:hint="eastAsia" w:ascii="宋体" w:hAnsi="宋体" w:cs="仿宋"/>
          <w:color w:val="000000" w:themeColor="text1"/>
          <w:sz w:val="24"/>
          <w:szCs w:val="24"/>
          <w:lang w:val="en-US" w:eastAsia="zh-CN"/>
          <w14:textFill>
            <w14:solidFill>
              <w14:schemeClr w14:val="tx1"/>
            </w14:solidFill>
          </w14:textFill>
        </w:rPr>
        <w:t>2013年12月7日修订；</w:t>
      </w:r>
    </w:p>
    <w:p w14:paraId="0F2DF751">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18</w:t>
      </w:r>
      <w:r>
        <w:rPr>
          <w:rFonts w:hint="eastAsia" w:ascii="宋体" w:hAnsi="宋体" w:cs="仿宋"/>
          <w:color w:val="000000" w:themeColor="text1"/>
          <w:sz w:val="24"/>
          <w:szCs w:val="24"/>
          <w:lang w:val="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《使用有毒物品作业场所劳动保护条例》（国务院令第352号,2002年5月12日施行）</w:t>
      </w:r>
    </w:p>
    <w:p w14:paraId="0A2290D2">
      <w:pPr>
        <w:pStyle w:val="40"/>
        <w:snapToGrid w:val="0"/>
        <w:spacing w:line="360" w:lineRule="auto"/>
        <w:ind w:firstLine="560"/>
        <w:rPr>
          <w:rFonts w:hint="eastAsia" w:ascii="宋体" w:hAnsi="宋体" w:cs="仿宋"/>
          <w:color w:val="000000" w:themeColor="text1"/>
          <w:sz w:val="24"/>
          <w:szCs w:val="24"/>
          <w:lang w:val="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19</w:t>
      </w:r>
      <w:r>
        <w:rPr>
          <w:rFonts w:hint="eastAsia" w:ascii="宋体" w:hAnsi="宋体" w:cs="仿宋"/>
          <w:color w:val="000000" w:themeColor="text1"/>
          <w:sz w:val="24"/>
          <w:szCs w:val="24"/>
          <w14:textFill>
            <w14:solidFill>
              <w14:schemeClr w14:val="tx1"/>
            </w14:solidFill>
          </w14:textFill>
        </w:rPr>
        <w:t>）《云南省安全生产条例》（</w:t>
      </w:r>
      <w:r>
        <w:rPr>
          <w:rFonts w:hint="eastAsia" w:ascii="宋体" w:hAnsi="宋体" w:cs="仿宋"/>
          <w:color w:val="000000" w:themeColor="text1"/>
          <w:sz w:val="24"/>
          <w:szCs w:val="24"/>
          <w:lang w:val="en-US" w:eastAsia="zh-CN"/>
          <w14:textFill>
            <w14:solidFill>
              <w14:schemeClr w14:val="tx1"/>
            </w14:solidFill>
          </w14:textFill>
        </w:rPr>
        <w:t>2017</w:t>
      </w:r>
      <w:r>
        <w:rPr>
          <w:rFonts w:hint="eastAsia" w:ascii="宋体" w:hAnsi="宋体" w:cs="仿宋"/>
          <w:color w:val="000000" w:themeColor="text1"/>
          <w:sz w:val="24"/>
          <w:szCs w:val="24"/>
          <w:lang w:val="zh-CN"/>
          <w14:textFill>
            <w14:solidFill>
              <w14:schemeClr w14:val="tx1"/>
            </w14:solidFill>
          </w14:textFill>
        </w:rPr>
        <w:t>年11月</w:t>
      </w:r>
      <w:r>
        <w:rPr>
          <w:rFonts w:hint="eastAsia" w:ascii="宋体" w:hAnsi="宋体" w:cs="仿宋"/>
          <w:color w:val="000000" w:themeColor="text1"/>
          <w:sz w:val="24"/>
          <w:szCs w:val="24"/>
          <w:lang w:val="en-US" w:eastAsia="zh-CN"/>
          <w14:textFill>
            <w14:solidFill>
              <w14:schemeClr w14:val="tx1"/>
            </w14:solidFill>
          </w14:textFill>
        </w:rPr>
        <w:t>30</w:t>
      </w:r>
      <w:r>
        <w:rPr>
          <w:rFonts w:hint="eastAsia" w:ascii="宋体" w:hAnsi="宋体" w:cs="仿宋"/>
          <w:color w:val="000000" w:themeColor="text1"/>
          <w:sz w:val="24"/>
          <w:szCs w:val="24"/>
          <w:lang w:val="zh-CN"/>
          <w14:textFill>
            <w14:solidFill>
              <w14:schemeClr w14:val="tx1"/>
            </w14:solidFill>
          </w14:textFill>
        </w:rPr>
        <w:t>日经云南省十</w:t>
      </w:r>
      <w:r>
        <w:rPr>
          <w:rFonts w:hint="eastAsia" w:ascii="宋体" w:hAnsi="宋体" w:cs="仿宋"/>
          <w:color w:val="000000" w:themeColor="text1"/>
          <w:sz w:val="24"/>
          <w:szCs w:val="24"/>
          <w:lang w:val="en-US" w:eastAsia="zh-CN"/>
          <w14:textFill>
            <w14:solidFill>
              <w14:schemeClr w14:val="tx1"/>
            </w14:solidFill>
          </w14:textFill>
        </w:rPr>
        <w:t>二</w:t>
      </w:r>
      <w:r>
        <w:rPr>
          <w:rFonts w:hint="eastAsia" w:ascii="宋体" w:hAnsi="宋体" w:cs="仿宋"/>
          <w:color w:val="000000" w:themeColor="text1"/>
          <w:sz w:val="24"/>
          <w:szCs w:val="24"/>
          <w:lang w:val="zh-CN"/>
          <w14:textFill>
            <w14:solidFill>
              <w14:schemeClr w14:val="tx1"/>
            </w14:solidFill>
          </w14:textFill>
        </w:rPr>
        <w:t>届人民代表大会常务委员会第三十</w:t>
      </w:r>
      <w:r>
        <w:rPr>
          <w:rFonts w:hint="eastAsia" w:ascii="宋体" w:hAnsi="宋体" w:cs="仿宋"/>
          <w:color w:val="000000" w:themeColor="text1"/>
          <w:sz w:val="24"/>
          <w:szCs w:val="24"/>
          <w:lang w:val="en-US" w:eastAsia="zh-CN"/>
          <w14:textFill>
            <w14:solidFill>
              <w14:schemeClr w14:val="tx1"/>
            </w14:solidFill>
          </w14:textFill>
        </w:rPr>
        <w:t>八</w:t>
      </w:r>
      <w:r>
        <w:rPr>
          <w:rFonts w:hint="eastAsia" w:ascii="宋体" w:hAnsi="宋体" w:cs="仿宋"/>
          <w:color w:val="000000" w:themeColor="text1"/>
          <w:sz w:val="24"/>
          <w:szCs w:val="24"/>
          <w:lang w:val="zh-CN"/>
          <w14:textFill>
            <w14:solidFill>
              <w14:schemeClr w14:val="tx1"/>
            </w14:solidFill>
          </w14:textFill>
        </w:rPr>
        <w:t>次会议通过 20</w:t>
      </w:r>
      <w:r>
        <w:rPr>
          <w:rFonts w:hint="eastAsia" w:ascii="宋体" w:hAnsi="宋体" w:cs="仿宋"/>
          <w:color w:val="000000" w:themeColor="text1"/>
          <w:sz w:val="24"/>
          <w:szCs w:val="24"/>
          <w:lang w:val="en-US" w:eastAsia="zh-CN"/>
          <w14:textFill>
            <w14:solidFill>
              <w14:schemeClr w14:val="tx1"/>
            </w14:solidFill>
          </w14:textFill>
        </w:rPr>
        <w:t>18</w:t>
      </w:r>
      <w:r>
        <w:rPr>
          <w:rFonts w:hint="eastAsia" w:ascii="宋体" w:hAnsi="宋体" w:cs="仿宋"/>
          <w:color w:val="000000" w:themeColor="text1"/>
          <w:sz w:val="24"/>
          <w:szCs w:val="24"/>
          <w:lang w:val="zh-CN"/>
          <w14:textFill>
            <w14:solidFill>
              <w14:schemeClr w14:val="tx1"/>
            </w14:solidFill>
          </w14:textFill>
        </w:rPr>
        <w:t>年1月1日执行</w:t>
      </w:r>
      <w:r>
        <w:rPr>
          <w:rFonts w:hint="eastAsia" w:ascii="宋体" w:hAnsi="宋体" w:cs="仿宋"/>
          <w:color w:val="000000" w:themeColor="text1"/>
          <w:sz w:val="24"/>
          <w:szCs w:val="24"/>
          <w14:textFill>
            <w14:solidFill>
              <w14:schemeClr w14:val="tx1"/>
            </w14:solidFill>
          </w14:textFill>
        </w:rPr>
        <w:t>）</w:t>
      </w:r>
    </w:p>
    <w:p w14:paraId="06993978">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w:t>
      </w:r>
      <w:r>
        <w:rPr>
          <w:rFonts w:hint="eastAsia" w:ascii="宋体" w:hAnsi="宋体" w:cs="仿宋"/>
          <w:color w:val="000000" w:themeColor="text1"/>
          <w:sz w:val="24"/>
          <w:szCs w:val="24"/>
          <w:lang w:val="en-US" w:eastAsia="zh-CN"/>
          <w14:textFill>
            <w14:solidFill>
              <w14:schemeClr w14:val="tx1"/>
            </w14:solidFill>
          </w14:textFill>
        </w:rPr>
        <w:t>0</w:t>
      </w:r>
      <w:r>
        <w:rPr>
          <w:rFonts w:hint="eastAsia" w:ascii="宋体" w:hAnsi="宋体" w:cs="仿宋"/>
          <w:color w:val="000000" w:themeColor="text1"/>
          <w:sz w:val="24"/>
          <w:szCs w:val="24"/>
          <w14:textFill>
            <w14:solidFill>
              <w14:schemeClr w14:val="tx1"/>
            </w14:solidFill>
          </w14:textFill>
        </w:rPr>
        <w:t>）《云南省企业单位突发环境事件应急预案指导目录和编制要点（试行）</w:t>
      </w:r>
    </w:p>
    <w:p w14:paraId="6B678D8D">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w:t>
      </w:r>
      <w:r>
        <w:rPr>
          <w:rFonts w:hint="eastAsia" w:ascii="宋体" w:hAnsi="宋体" w:cs="仿宋"/>
          <w:color w:val="000000" w:themeColor="text1"/>
          <w:sz w:val="24"/>
          <w:szCs w:val="24"/>
          <w:lang w:val="en-US" w:eastAsia="zh-CN"/>
          <w14:textFill>
            <w14:solidFill>
              <w14:schemeClr w14:val="tx1"/>
            </w14:solidFill>
          </w14:textFill>
        </w:rPr>
        <w:t>1</w:t>
      </w:r>
      <w:r>
        <w:rPr>
          <w:rFonts w:hint="eastAsia" w:ascii="宋体" w:hAnsi="宋体" w:cs="仿宋"/>
          <w:color w:val="000000" w:themeColor="text1"/>
          <w:sz w:val="24"/>
          <w:szCs w:val="24"/>
          <w14:textFill>
            <w14:solidFill>
              <w14:schemeClr w14:val="tx1"/>
            </w14:solidFill>
          </w14:textFill>
        </w:rPr>
        <w:t>）《昆明市突发环境污染和生态破坏事故应急预案》</w:t>
      </w:r>
    </w:p>
    <w:p w14:paraId="433666C1">
      <w:pPr>
        <w:pStyle w:val="40"/>
        <w:snapToGrid w:val="0"/>
        <w:spacing w:line="360" w:lineRule="auto"/>
        <w:ind w:firstLine="560"/>
        <w:rPr>
          <w:rFonts w:hint="eastAsia" w:ascii="宋体" w:hAnsi="宋体" w:cs="宋体"/>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w:t>
      </w:r>
      <w:r>
        <w:rPr>
          <w:rFonts w:hint="eastAsia" w:ascii="宋体" w:hAnsi="宋体" w:cs="仿宋"/>
          <w:color w:val="000000" w:themeColor="text1"/>
          <w:sz w:val="24"/>
          <w:szCs w:val="24"/>
          <w:lang w:val="en-US" w:eastAsia="zh-CN"/>
          <w14:textFill>
            <w14:solidFill>
              <w14:schemeClr w14:val="tx1"/>
            </w14:solidFill>
          </w14:textFill>
        </w:rPr>
        <w:t>2</w:t>
      </w:r>
      <w:r>
        <w:rPr>
          <w:rFonts w:hint="eastAsia" w:ascii="宋体" w:hAnsi="宋体" w:cs="仿宋"/>
          <w:color w:val="000000" w:themeColor="text1"/>
          <w:sz w:val="24"/>
          <w:szCs w:val="24"/>
          <w14:textFill>
            <w14:solidFill>
              <w14:schemeClr w14:val="tx1"/>
            </w14:solidFill>
          </w14:textFill>
        </w:rPr>
        <w:t>）《企业突发环境事件风险评估指南（试行）</w:t>
      </w:r>
      <w:r>
        <w:rPr>
          <w:rFonts w:hint="eastAsia" w:ascii="宋体" w:hAnsi="宋体" w:cs="仿宋"/>
          <w:color w:val="000000" w:themeColor="text1"/>
          <w:sz w:val="24"/>
          <w:szCs w:val="24"/>
          <w:lang w:val="en-US" w:eastAsia="zh-CN"/>
          <w14:textFill>
            <w14:solidFill>
              <w14:schemeClr w14:val="tx1"/>
            </w14:solidFill>
          </w14:textFill>
        </w:rPr>
        <w:t>的通知</w:t>
      </w:r>
      <w:r>
        <w:rPr>
          <w:rFonts w:hint="eastAsia" w:ascii="宋体" w:hAnsi="宋体" w:cs="仿宋"/>
          <w:color w:val="000000" w:themeColor="text1"/>
          <w:sz w:val="24"/>
          <w:szCs w:val="24"/>
          <w14:textFill>
            <w14:solidFill>
              <w14:schemeClr w14:val="tx1"/>
            </w14:solidFill>
          </w14:textFill>
        </w:rPr>
        <w:t>》</w:t>
      </w:r>
      <w:r>
        <w:rPr>
          <w:rFonts w:hint="eastAsia" w:ascii="宋体" w:hAnsi="宋体" w:cs="宋体"/>
          <w:color w:val="000000" w:themeColor="text1"/>
          <w:sz w:val="24"/>
          <w:szCs w:val="24"/>
          <w14:textFill>
            <w14:solidFill>
              <w14:schemeClr w14:val="tx1"/>
            </w14:solidFill>
          </w14:textFill>
        </w:rPr>
        <w:t>(环办[2014]34号)</w:t>
      </w:r>
    </w:p>
    <w:p w14:paraId="7A2A1EED">
      <w:pPr>
        <w:pStyle w:val="40"/>
        <w:snapToGrid w:val="0"/>
        <w:spacing w:line="360" w:lineRule="auto"/>
        <w:ind w:firstLine="560"/>
        <w:rPr>
          <w:rFonts w:hint="eastAsia" w:ascii="宋体" w:hAnsi="宋体" w:cs="宋体"/>
          <w:color w:val="000000" w:themeColor="text1"/>
          <w:sz w:val="24"/>
          <w:szCs w:val="24"/>
          <w:lang w:val="en-US" w:eastAsia="zh-CN"/>
          <w14:textFill>
            <w14:solidFill>
              <w14:schemeClr w14:val="tx1"/>
            </w14:solidFill>
          </w14:textFill>
        </w:rPr>
      </w:pPr>
      <w:r>
        <w:rPr>
          <w:rFonts w:hint="eastAsia"/>
          <w:color w:val="000000" w:themeColor="text1"/>
          <w:lang w:eastAsia="zh-CN"/>
          <w14:textFill>
            <w14:solidFill>
              <w14:schemeClr w14:val="tx1"/>
            </w14:solidFill>
          </w14:textFill>
        </w:rPr>
        <w:t>（</w:t>
      </w:r>
      <w:r>
        <w:rPr>
          <w:rFonts w:hint="eastAsia"/>
          <w:color w:val="000000" w:themeColor="text1"/>
          <w:lang w:val="en-US" w:eastAsia="zh-CN"/>
          <w14:textFill>
            <w14:solidFill>
              <w14:schemeClr w14:val="tx1"/>
            </w14:solidFill>
          </w14:textFill>
        </w:rPr>
        <w:t>23</w:t>
      </w:r>
      <w:r>
        <w:rPr>
          <w:rFonts w:hint="eastAsia"/>
          <w:color w:val="000000" w:themeColor="text1"/>
          <w:lang w:eastAsia="zh-CN"/>
          <w14:textFill>
            <w14:solidFill>
              <w14:schemeClr w14:val="tx1"/>
            </w14:solidFill>
          </w14:textFill>
        </w:rPr>
        <w:t>）</w:t>
      </w:r>
      <w:r>
        <w:rPr>
          <w:color w:val="000000" w:themeColor="text1"/>
          <w14:textFill>
            <w14:solidFill>
              <w14:schemeClr w14:val="tx1"/>
            </w14:solidFill>
          </w14:textFill>
        </w:rPr>
        <w:t>《云南省突发环境事件应急预案管理办法》（</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024年</w:t>
      </w:r>
      <w:r>
        <w:rPr>
          <w:rFonts w:hint="eastAsia"/>
          <w:color w:val="000000" w:themeColor="text1"/>
          <w14:textFill>
            <w14:solidFill>
              <w14:schemeClr w14:val="tx1"/>
            </w14:solidFill>
          </w14:textFill>
        </w:rPr>
        <w:t>1</w:t>
      </w:r>
      <w:r>
        <w:rPr>
          <w:color w:val="000000" w:themeColor="text1"/>
          <w14:textFill>
            <w14:solidFill>
              <w14:schemeClr w14:val="tx1"/>
            </w14:solidFill>
          </w14:textFill>
        </w:rPr>
        <w:t>2月</w:t>
      </w:r>
      <w:r>
        <w:rPr>
          <w:rFonts w:hint="eastAsia"/>
          <w:color w:val="000000" w:themeColor="text1"/>
          <w14:textFill>
            <w14:solidFill>
              <w14:schemeClr w14:val="tx1"/>
            </w14:solidFill>
          </w14:textFill>
        </w:rPr>
        <w:t>2</w:t>
      </w:r>
      <w:r>
        <w:rPr>
          <w:color w:val="000000" w:themeColor="text1"/>
          <w14:textFill>
            <w14:solidFill>
              <w14:schemeClr w14:val="tx1"/>
            </w14:solidFill>
          </w14:textFill>
        </w:rPr>
        <w:t>7日印发，印发之日起</w:t>
      </w:r>
      <w:r>
        <w:rPr>
          <w:rFonts w:hint="eastAsia"/>
          <w:color w:val="000000" w:themeColor="text1"/>
          <w14:textFill>
            <w14:solidFill>
              <w14:schemeClr w14:val="tx1"/>
            </w14:solidFill>
          </w14:textFill>
        </w:rPr>
        <w:t>3</w:t>
      </w:r>
      <w:r>
        <w:rPr>
          <w:color w:val="000000" w:themeColor="text1"/>
          <w14:textFill>
            <w14:solidFill>
              <w14:schemeClr w14:val="tx1"/>
            </w14:solidFill>
          </w14:textFill>
        </w:rPr>
        <w:t>0日后施行</w:t>
      </w:r>
      <w:r>
        <w:rPr>
          <w:rFonts w:hint="eastAsia"/>
          <w:color w:val="000000" w:themeColor="text1"/>
          <w14:textFill>
            <w14:solidFill>
              <w14:schemeClr w14:val="tx1"/>
            </w14:solidFill>
          </w14:textFill>
        </w:rPr>
        <w:t>）</w:t>
      </w:r>
    </w:p>
    <w:p w14:paraId="7805870F">
      <w:pPr>
        <w:pStyle w:val="10"/>
        <w:keepNext/>
        <w:keepLines/>
        <w:spacing w:before="140" w:beforeLines="0" w:after="140" w:afterLines="0" w:line="416" w:lineRule="auto"/>
        <w:ind w:firstLine="0" w:firstLineChars="0"/>
        <w:jc w:val="both"/>
        <w:rPr>
          <w:rFonts w:hint="eastAsia" w:ascii="宋体" w:hAnsi="宋体" w:eastAsia="宋体" w:cs="Times New Roman"/>
          <w:b/>
          <w:bCs/>
          <w:color w:val="000000" w:themeColor="text1"/>
          <w:sz w:val="28"/>
          <w:szCs w:val="28"/>
          <w:lang w:val="en-US" w:eastAsia="zh-CN"/>
          <w14:textFill>
            <w14:solidFill>
              <w14:schemeClr w14:val="tx1"/>
            </w14:solidFill>
          </w14:textFill>
        </w:rPr>
      </w:pPr>
      <w:bookmarkStart w:id="22" w:name="_Toc12541"/>
      <w:r>
        <w:rPr>
          <w:rFonts w:hint="eastAsia" w:ascii="宋体" w:hAnsi="宋体" w:eastAsia="宋体" w:cs="Times New Roman"/>
          <w:b/>
          <w:bCs/>
          <w:color w:val="000000" w:themeColor="text1"/>
          <w:sz w:val="28"/>
          <w:szCs w:val="28"/>
          <w:lang w:val="en-US" w:eastAsia="zh-CN"/>
          <w14:textFill>
            <w14:solidFill>
              <w14:schemeClr w14:val="tx1"/>
            </w14:solidFill>
          </w14:textFill>
        </w:rPr>
        <w:t>2.</w:t>
      </w:r>
      <w:r>
        <w:rPr>
          <w:rFonts w:hint="eastAsia" w:ascii="宋体" w:hAnsi="宋体" w:cs="Times New Roman"/>
          <w:b/>
          <w:bCs/>
          <w:color w:val="000000" w:themeColor="text1"/>
          <w:sz w:val="28"/>
          <w:szCs w:val="28"/>
          <w:lang w:val="en-US" w:eastAsia="zh-CN"/>
          <w14:textFill>
            <w14:solidFill>
              <w14:schemeClr w14:val="tx1"/>
            </w14:solidFill>
          </w14:textFill>
        </w:rPr>
        <w:t>1</w:t>
      </w:r>
      <w:r>
        <w:rPr>
          <w:rFonts w:hint="eastAsia" w:ascii="宋体" w:hAnsi="宋体" w:eastAsia="宋体" w:cs="Times New Roman"/>
          <w:b/>
          <w:bCs/>
          <w:color w:val="000000" w:themeColor="text1"/>
          <w:sz w:val="28"/>
          <w:szCs w:val="28"/>
          <w:lang w:val="en-US" w:eastAsia="zh-CN"/>
          <w14:textFill>
            <w14:solidFill>
              <w14:schemeClr w14:val="tx1"/>
            </w14:solidFill>
          </w14:textFill>
        </w:rPr>
        <w:t>.2相关技术导则、环境质量标准</w:t>
      </w:r>
      <w:bookmarkEnd w:id="14"/>
      <w:bookmarkEnd w:id="15"/>
      <w:bookmarkEnd w:id="16"/>
      <w:bookmarkEnd w:id="17"/>
      <w:bookmarkEnd w:id="18"/>
      <w:bookmarkEnd w:id="19"/>
      <w:bookmarkEnd w:id="20"/>
      <w:bookmarkEnd w:id="21"/>
      <w:bookmarkEnd w:id="22"/>
    </w:p>
    <w:p w14:paraId="1F032039">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（1）《危险化学品重大危险源辨识》(GB18218-2018)；</w:t>
      </w:r>
    </w:p>
    <w:p w14:paraId="667F620F">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（2）《建设</w:t>
      </w:r>
      <w:r>
        <w:rPr>
          <w:rFonts w:hint="eastAsia" w:ascii="宋体" w:hAnsi="宋体" w:cs="仿宋"/>
          <w:color w:val="000000" w:themeColor="text1"/>
          <w:kern w:val="2"/>
          <w:sz w:val="24"/>
          <w:szCs w:val="24"/>
          <w:lang w:val="en-US" w:eastAsia="zh-CN" w:bidi="ar-SA"/>
          <w14:textFill>
            <w14:solidFill>
              <w14:schemeClr w14:val="tx1"/>
            </w14:solidFill>
          </w14:textFill>
        </w:rPr>
        <w:t>项目</w:t>
      </w:r>
      <w:r>
        <w:rPr>
          <w:rFonts w:hint="eastAsia" w:ascii="宋体" w:hAnsi="宋体" w:eastAsia="宋体" w:cs="仿宋"/>
          <w:color w:val="000000" w:themeColor="text1"/>
          <w:kern w:val="2"/>
          <w:sz w:val="24"/>
          <w:szCs w:val="24"/>
          <w:lang w:val="en-US" w:eastAsia="zh-CN" w:bidi="ar-SA"/>
          <w14:textFill>
            <w14:solidFill>
              <w14:schemeClr w14:val="tx1"/>
            </w14:solidFill>
          </w14:textFill>
        </w:rPr>
        <w:t>环境风险评价技术导则》(HJ169-2018)；</w:t>
      </w:r>
    </w:p>
    <w:p w14:paraId="3AB2722C">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（3）《化学品毒性鉴定技术规范》卫监督发〔2005〕272号 ；</w:t>
      </w:r>
    </w:p>
    <w:p w14:paraId="6ED5355A">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（4）</w:t>
      </w:r>
      <w:r>
        <w:rPr>
          <w:color w:val="000000" w:themeColor="text1"/>
          <w:sz w:val="24"/>
          <w:lang w:val="zh-CN"/>
          <w14:textFill>
            <w14:solidFill>
              <w14:schemeClr w14:val="tx1"/>
            </w14:solidFill>
          </w14:textFill>
        </w:rPr>
        <w:t>《危险废物贮存污染控制标准》（GB18597-20</w:t>
      </w:r>
      <w:r>
        <w:rPr>
          <w:color w:val="000000" w:themeColor="text1"/>
          <w:sz w:val="24"/>
          <w14:textFill>
            <w14:solidFill>
              <w14:schemeClr w14:val="tx1"/>
            </w14:solidFill>
          </w14:textFill>
        </w:rPr>
        <w:t>23</w:t>
      </w:r>
      <w:r>
        <w:rPr>
          <w:color w:val="000000" w:themeColor="text1"/>
          <w:sz w:val="24"/>
          <w:lang w:val="zh-CN"/>
          <w14:textFill>
            <w14:solidFill>
              <w14:schemeClr w14:val="tx1"/>
            </w14:solidFill>
          </w14:textFill>
        </w:rPr>
        <w:t>）</w:t>
      </w:r>
      <w:r>
        <w:rPr>
          <w:rFonts w:hint="eastAsia"/>
          <w:color w:val="000000" w:themeColor="text1"/>
          <w:sz w:val="24"/>
          <w:lang w:val="zh-CN"/>
          <w14:textFill>
            <w14:solidFill>
              <w14:schemeClr w14:val="tx1"/>
            </w14:solidFill>
          </w14:textFill>
        </w:rPr>
        <w:t>；</w:t>
      </w:r>
    </w:p>
    <w:p w14:paraId="01C65437">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（5）</w:t>
      </w:r>
      <w:r>
        <w:rPr>
          <w:rFonts w:ascii="Times New Roman" w:hAnsi="Times New Roman"/>
          <w:color w:val="000000" w:themeColor="text1"/>
          <w:sz w:val="24"/>
          <w:lang w:val="zh-CN"/>
          <w14:textFill>
            <w14:solidFill>
              <w14:schemeClr w14:val="tx1"/>
            </w14:solidFill>
          </w14:textFill>
        </w:rPr>
        <w:t>《一般工业固体废物贮存和填埋污染控制标准》（GB18599-20</w:t>
      </w:r>
      <w:r>
        <w:rPr>
          <w:rFonts w:ascii="Times New Roman" w:hAnsi="Times New Roman"/>
          <w:color w:val="000000" w:themeColor="text1"/>
          <w:sz w:val="24"/>
          <w14:textFill>
            <w14:solidFill>
              <w14:schemeClr w14:val="tx1"/>
            </w14:solidFill>
          </w14:textFill>
        </w:rPr>
        <w:t>20</w:t>
      </w:r>
      <w:r>
        <w:rPr>
          <w:rFonts w:hint="eastAsia" w:ascii="宋体" w:hAnsi="宋体" w:eastAsia="宋体" w:cs="仿宋"/>
          <w:color w:val="000000" w:themeColor="text1"/>
          <w:kern w:val="2"/>
          <w:sz w:val="24"/>
          <w:szCs w:val="24"/>
          <w:lang w:val="en-US" w:eastAsia="zh-CN" w:bidi="ar-SA"/>
          <w14:textFill>
            <w14:solidFill>
              <w14:schemeClr w14:val="tx1"/>
            </w14:solidFill>
          </w14:textFill>
        </w:rPr>
        <w:t>）；</w:t>
      </w:r>
    </w:p>
    <w:p w14:paraId="513554FA">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（6）《环境空气质量标准》（GB3095-2012）；</w:t>
      </w:r>
    </w:p>
    <w:p w14:paraId="53F4BDAA">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（7）《地表水环境质量标准》（GB3838－2002）；</w:t>
      </w:r>
    </w:p>
    <w:p w14:paraId="3C56B254">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（8）《地下水质量标准》GB/T14848-2017；</w:t>
      </w:r>
    </w:p>
    <w:p w14:paraId="0DFAFE1E">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（9）《大气污染物综合排放标准》（GB16297-1996）；</w:t>
      </w:r>
    </w:p>
    <w:p w14:paraId="75AB4BBB">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zh-CN" w:eastAsia="zh-CN" w:bidi="ar-SA"/>
          <w14:textFill>
            <w14:solidFill>
              <w14:schemeClr w14:val="tx1"/>
            </w14:solidFill>
          </w14:textFill>
        </w:rPr>
      </w:pPr>
      <w:r>
        <w:rPr>
          <w:rFonts w:hint="eastAsia" w:ascii="宋体" w:hAnsi="宋体" w:eastAsia="宋体" w:cs="仿宋"/>
          <w:color w:val="000000" w:themeColor="text1"/>
          <w:kern w:val="2"/>
          <w:sz w:val="24"/>
          <w:szCs w:val="24"/>
          <w:lang w:val="zh-CN" w:eastAsia="zh-CN" w:bidi="ar-SA"/>
          <w14:textFill>
            <w14:solidFill>
              <w14:schemeClr w14:val="tx1"/>
            </w14:solidFill>
          </w14:textFill>
        </w:rPr>
        <w:t>（</w:t>
      </w:r>
      <w:r>
        <w:rPr>
          <w:rFonts w:hint="eastAsia" w:ascii="宋体" w:hAnsi="宋体" w:eastAsia="宋体" w:cs="仿宋"/>
          <w:color w:val="000000" w:themeColor="text1"/>
          <w:kern w:val="2"/>
          <w:sz w:val="24"/>
          <w:szCs w:val="24"/>
          <w:lang w:val="en-US" w:eastAsia="zh-CN" w:bidi="ar-SA"/>
          <w14:textFill>
            <w14:solidFill>
              <w14:schemeClr w14:val="tx1"/>
            </w14:solidFill>
          </w14:textFill>
        </w:rPr>
        <w:t>10</w:t>
      </w:r>
      <w:r>
        <w:rPr>
          <w:rFonts w:hint="eastAsia" w:ascii="宋体" w:hAnsi="宋体" w:eastAsia="宋体" w:cs="仿宋"/>
          <w:color w:val="000000" w:themeColor="text1"/>
          <w:kern w:val="2"/>
          <w:sz w:val="24"/>
          <w:szCs w:val="24"/>
          <w:lang w:val="zh-CN" w:eastAsia="zh-CN" w:bidi="ar-SA"/>
          <w14:textFill>
            <w14:solidFill>
              <w14:schemeClr w14:val="tx1"/>
            </w14:solidFill>
          </w14:textFill>
        </w:rPr>
        <w:t>）《挥发性有机物无组织排放控制标准》（GB37822-2019）</w:t>
      </w:r>
    </w:p>
    <w:p w14:paraId="25F3FEE3">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（11）《锅炉大气污染物排放标准》（GB13271-2014）</w:t>
      </w:r>
    </w:p>
    <w:p w14:paraId="201FEC46">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zh-CN" w:eastAsia="zh-CN" w:bidi="ar-SA"/>
          <w14:textFill>
            <w14:solidFill>
              <w14:schemeClr w14:val="tx1"/>
            </w14:solidFill>
          </w14:textFill>
        </w:rPr>
      </w:pPr>
      <w:r>
        <w:rPr>
          <w:rFonts w:hint="eastAsia" w:ascii="宋体" w:hAnsi="宋体" w:cs="仿宋"/>
          <w:color w:val="000000" w:themeColor="text1"/>
          <w:kern w:val="2"/>
          <w:sz w:val="24"/>
          <w:szCs w:val="24"/>
          <w:lang w:val="zh-CN" w:eastAsia="zh-CN" w:bidi="ar-SA"/>
          <w14:textFill>
            <w14:solidFill>
              <w14:schemeClr w14:val="tx1"/>
            </w14:solidFill>
          </w14:textFill>
        </w:rPr>
        <w:t>（</w:t>
      </w:r>
      <w:r>
        <w:rPr>
          <w:rFonts w:hint="eastAsia" w:ascii="宋体" w:hAnsi="宋体" w:cs="仿宋"/>
          <w:color w:val="000000" w:themeColor="text1"/>
          <w:kern w:val="2"/>
          <w:sz w:val="24"/>
          <w:szCs w:val="24"/>
          <w:lang w:val="en-US" w:eastAsia="zh-CN" w:bidi="ar-SA"/>
          <w14:textFill>
            <w14:solidFill>
              <w14:schemeClr w14:val="tx1"/>
            </w14:solidFill>
          </w14:textFill>
        </w:rPr>
        <w:t>12</w:t>
      </w:r>
      <w:r>
        <w:rPr>
          <w:rFonts w:hint="eastAsia" w:ascii="宋体" w:hAnsi="宋体" w:eastAsia="宋体" w:cs="仿宋"/>
          <w:color w:val="000000" w:themeColor="text1"/>
          <w:kern w:val="2"/>
          <w:sz w:val="24"/>
          <w:szCs w:val="24"/>
          <w:lang w:val="zh-CN" w:eastAsia="zh-CN" w:bidi="ar-SA"/>
          <w14:textFill>
            <w14:solidFill>
              <w14:schemeClr w14:val="tx1"/>
            </w14:solidFill>
          </w14:textFill>
        </w:rPr>
        <w:t>）《恶臭污染物排放标准》（GB14554-93）</w:t>
      </w:r>
    </w:p>
    <w:p w14:paraId="2A4BBD40">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（13）《饮食业油烟排放标准（试行）》（GB18483-2001）</w:t>
      </w:r>
    </w:p>
    <w:p w14:paraId="0121F1D8">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（14）《污水排入城镇下水道水质标准》（GB/T31962-2015）</w:t>
      </w:r>
    </w:p>
    <w:p w14:paraId="5216E86B">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cs="仿宋"/>
          <w:color w:val="000000" w:themeColor="text1"/>
          <w:kern w:val="2"/>
          <w:sz w:val="24"/>
          <w:szCs w:val="24"/>
          <w:lang w:val="en-US" w:eastAsia="zh-CN" w:bidi="ar-SA"/>
          <w14:textFill>
            <w14:solidFill>
              <w14:schemeClr w14:val="tx1"/>
            </w14:solidFill>
          </w14:textFill>
        </w:rPr>
        <w:t>（15）</w:t>
      </w:r>
      <w:r>
        <w:rPr>
          <w:rFonts w:hint="eastAsia" w:ascii="宋体" w:hAnsi="宋体" w:eastAsia="宋体" w:cs="仿宋"/>
          <w:color w:val="000000" w:themeColor="text1"/>
          <w:kern w:val="2"/>
          <w:sz w:val="24"/>
          <w:szCs w:val="24"/>
          <w:lang w:val="en-US" w:eastAsia="zh-CN" w:bidi="ar-SA"/>
          <w14:textFill>
            <w14:solidFill>
              <w14:schemeClr w14:val="tx1"/>
            </w14:solidFill>
          </w14:textFill>
        </w:rPr>
        <w:t>《工业企业厂界环境噪声排放标准》（GB12348-2008）</w:t>
      </w:r>
    </w:p>
    <w:p w14:paraId="4D84587C">
      <w:pPr>
        <w:keepNext w:val="0"/>
        <w:keepLines w:val="0"/>
        <w:pageBreakBefore w:val="0"/>
        <w:widowControl w:val="0"/>
        <w:kinsoku/>
        <w:wordWrap/>
        <w:overflowPunct/>
        <w:topLinePunct w:val="0"/>
        <w:autoSpaceDE/>
        <w:autoSpaceDN/>
        <w:bidi w:val="0"/>
        <w:adjustRightInd/>
        <w:snapToGrid w:val="0"/>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（11）《企业突发环境事件风险分级方法》HJ941-2018。</w:t>
      </w:r>
    </w:p>
    <w:p w14:paraId="1BF5857C">
      <w:pPr>
        <w:pStyle w:val="10"/>
        <w:keepNext/>
        <w:keepLines/>
        <w:spacing w:before="140" w:beforeLines="0" w:after="140" w:afterLines="0" w:line="416" w:lineRule="auto"/>
        <w:ind w:firstLine="0" w:firstLineChars="0"/>
        <w:jc w:val="both"/>
        <w:rPr>
          <w:rFonts w:hint="eastAsia" w:ascii="宋体" w:hAnsi="宋体" w:eastAsia="宋体" w:cs="Times New Roman"/>
          <w:b/>
          <w:bCs/>
          <w:color w:val="000000" w:themeColor="text1"/>
          <w:sz w:val="28"/>
          <w:szCs w:val="28"/>
          <w:lang w:val="en-US" w:eastAsia="zh-CN"/>
          <w14:textFill>
            <w14:solidFill>
              <w14:schemeClr w14:val="tx1"/>
            </w14:solidFill>
          </w14:textFill>
        </w:rPr>
      </w:pPr>
      <w:bookmarkStart w:id="23" w:name="_Toc26414"/>
      <w:bookmarkStart w:id="24" w:name="_Toc15197"/>
      <w:bookmarkStart w:id="25" w:name="_Toc31526"/>
      <w:bookmarkStart w:id="26" w:name="_Toc25446"/>
      <w:bookmarkStart w:id="27" w:name="_Toc3551"/>
      <w:bookmarkStart w:id="28" w:name="_Toc20536"/>
      <w:bookmarkStart w:id="29" w:name="_Toc28544"/>
      <w:bookmarkStart w:id="30" w:name="_Toc13821"/>
      <w:bookmarkStart w:id="31" w:name="_Toc26779"/>
      <w:r>
        <w:rPr>
          <w:rFonts w:hint="eastAsia" w:ascii="宋体" w:hAnsi="宋体" w:eastAsia="宋体" w:cs="Times New Roman"/>
          <w:b/>
          <w:bCs/>
          <w:color w:val="000000" w:themeColor="text1"/>
          <w:sz w:val="28"/>
          <w:szCs w:val="28"/>
          <w:lang w:val="en-US" w:eastAsia="zh-CN"/>
          <w14:textFill>
            <w14:solidFill>
              <w14:schemeClr w14:val="tx1"/>
            </w14:solidFill>
          </w14:textFill>
        </w:rPr>
        <w:t>2.</w:t>
      </w:r>
      <w:r>
        <w:rPr>
          <w:rFonts w:hint="eastAsia" w:ascii="宋体" w:hAnsi="宋体" w:cs="Times New Roman"/>
          <w:b/>
          <w:bCs/>
          <w:color w:val="000000" w:themeColor="text1"/>
          <w:sz w:val="28"/>
          <w:szCs w:val="28"/>
          <w:lang w:val="en-US" w:eastAsia="zh-CN"/>
          <w14:textFill>
            <w14:solidFill>
              <w14:schemeClr w14:val="tx1"/>
            </w14:solidFill>
          </w14:textFill>
        </w:rPr>
        <w:t>1</w:t>
      </w:r>
      <w:r>
        <w:rPr>
          <w:rFonts w:hint="eastAsia" w:ascii="宋体" w:hAnsi="宋体" w:eastAsia="宋体" w:cs="Times New Roman"/>
          <w:b/>
          <w:bCs/>
          <w:color w:val="000000" w:themeColor="text1"/>
          <w:sz w:val="28"/>
          <w:szCs w:val="28"/>
          <w:lang w:val="en-US" w:eastAsia="zh-CN"/>
          <w14:textFill>
            <w14:solidFill>
              <w14:schemeClr w14:val="tx1"/>
            </w14:solidFill>
          </w14:textFill>
        </w:rPr>
        <w:t>.3其他相关依据</w:t>
      </w:r>
      <w:bookmarkEnd w:id="23"/>
      <w:bookmarkEnd w:id="24"/>
      <w:bookmarkEnd w:id="25"/>
      <w:bookmarkEnd w:id="26"/>
      <w:bookmarkEnd w:id="27"/>
      <w:bookmarkEnd w:id="28"/>
      <w:bookmarkEnd w:id="29"/>
      <w:bookmarkEnd w:id="30"/>
      <w:bookmarkEnd w:id="31"/>
    </w:p>
    <w:p w14:paraId="2D84DAD5">
      <w:pPr>
        <w:pStyle w:val="16"/>
        <w:ind w:firstLine="480"/>
        <w:rPr>
          <w:rFonts w:hint="eastAsia" w:asciiTheme="minorEastAsia" w:hAnsiTheme="minorEastAsia" w:eastAsiaTheme="minorEastAsia" w:cstheme="minorEastAsia"/>
          <w:snapToGrid w:val="0"/>
          <w:color w:val="000000" w:themeColor="text1"/>
          <w:kern w:val="0"/>
          <w:sz w:val="24"/>
          <w:szCs w:val="22"/>
          <w:highlight w:val="none"/>
          <w:lang w:val="en-US" w:eastAsia="zh-CN"/>
          <w14:textFill>
            <w14:solidFill>
              <w14:schemeClr w14:val="tx1"/>
            </w14:solidFill>
          </w14:textFill>
        </w:rPr>
      </w:pPr>
      <w:r>
        <w:rPr>
          <w:rFonts w:hint="eastAsia" w:asciiTheme="minorEastAsia" w:hAnsiTheme="minorEastAsia" w:eastAsiaTheme="minorEastAsia" w:cstheme="minorEastAsia"/>
          <w:snapToGrid w:val="0"/>
          <w:color w:val="000000" w:themeColor="text1"/>
          <w:kern w:val="0"/>
          <w:sz w:val="24"/>
          <w:szCs w:val="22"/>
          <w:highlight w:val="none"/>
          <w:lang w:val="en-US" w:eastAsia="zh-CN"/>
          <w14:textFill>
            <w14:solidFill>
              <w14:schemeClr w14:val="tx1"/>
            </w14:solidFill>
          </w14:textFill>
        </w:rPr>
        <w:t>昆明市生态环境工程评估中心关于对《安宁泰丰林化工有限公司松香生产线提质增效改造项目环境影响报告表》 昆环评估意见安宁【2023】68号。</w:t>
      </w:r>
    </w:p>
    <w:p w14:paraId="5E089D92">
      <w:pPr>
        <w:pStyle w:val="9"/>
        <w:numPr>
          <w:ilvl w:val="0"/>
          <w:numId w:val="0"/>
        </w:numPr>
        <w:tabs>
          <w:tab w:val="left" w:pos="648"/>
        </w:tabs>
        <w:spacing w:before="44" w:line="360" w:lineRule="auto"/>
        <w:outlineLvl w:val="1"/>
        <w:rPr>
          <w:rFonts w:ascii="宋体" w:hAnsi="宋体" w:eastAsia="宋体"/>
          <w:color w:val="000000" w:themeColor="text1"/>
          <w:w w:val="95"/>
          <w:sz w:val="28"/>
          <w:szCs w:val="28"/>
          <w:lang w:eastAsia="zh-CN"/>
          <w14:textFill>
            <w14:solidFill>
              <w14:schemeClr w14:val="tx1"/>
            </w14:solidFill>
          </w14:textFill>
        </w:rPr>
      </w:pPr>
      <w:bookmarkStart w:id="32" w:name="_Toc26478"/>
      <w:r>
        <w:rPr>
          <w:rFonts w:hint="eastAsia" w:ascii="宋体" w:hAnsi="宋体" w:eastAsia="宋体"/>
          <w:color w:val="000000" w:themeColor="text1"/>
          <w:w w:val="95"/>
          <w:sz w:val="28"/>
          <w:szCs w:val="28"/>
          <w:lang w:val="en-US" w:eastAsia="zh-CN"/>
          <w14:textFill>
            <w14:solidFill>
              <w14:schemeClr w14:val="tx1"/>
            </w14:solidFill>
          </w14:textFill>
        </w:rPr>
        <w:t>2.</w:t>
      </w:r>
      <w:r>
        <w:rPr>
          <w:rFonts w:hint="eastAsia" w:ascii="宋体" w:hAnsi="宋体"/>
          <w:color w:val="000000" w:themeColor="text1"/>
          <w:w w:val="95"/>
          <w:sz w:val="28"/>
          <w:szCs w:val="28"/>
          <w:lang w:val="en-US" w:eastAsia="zh-CN"/>
          <w14:textFill>
            <w14:solidFill>
              <w14:schemeClr w14:val="tx1"/>
            </w14:solidFill>
          </w14:textFill>
        </w:rPr>
        <w:t>2</w:t>
      </w:r>
      <w:r>
        <w:rPr>
          <w:rFonts w:hint="eastAsia" w:ascii="宋体" w:hAnsi="宋体" w:eastAsia="宋体"/>
          <w:color w:val="000000" w:themeColor="text1"/>
          <w:w w:val="95"/>
          <w:sz w:val="28"/>
          <w:szCs w:val="28"/>
          <w:lang w:val="en-US" w:eastAsia="zh-CN"/>
          <w14:textFill>
            <w14:solidFill>
              <w14:schemeClr w14:val="tx1"/>
            </w14:solidFill>
          </w14:textFill>
        </w:rPr>
        <w:t xml:space="preserve">  </w:t>
      </w:r>
      <w:r>
        <w:rPr>
          <w:rFonts w:hint="eastAsia" w:ascii="宋体" w:hAnsi="宋体" w:eastAsia="宋体"/>
          <w:color w:val="000000" w:themeColor="text1"/>
          <w:w w:val="95"/>
          <w:sz w:val="28"/>
          <w:szCs w:val="28"/>
          <w:lang w:eastAsia="zh-CN"/>
          <w14:textFill>
            <w14:solidFill>
              <w14:schemeClr w14:val="tx1"/>
            </w14:solidFill>
          </w14:textFill>
        </w:rPr>
        <w:t>评价范围</w:t>
      </w:r>
      <w:bookmarkEnd w:id="13"/>
      <w:bookmarkEnd w:id="32"/>
    </w:p>
    <w:p w14:paraId="75EDB89F">
      <w:pPr>
        <w:pStyle w:val="36"/>
        <w:spacing w:line="360" w:lineRule="auto"/>
        <w:ind w:left="119" w:firstLine="520"/>
        <w:rPr>
          <w:rFonts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主要是针对企业生产过程可能发生以下突发环境事件存在的风险进行评估：</w:t>
      </w:r>
    </w:p>
    <w:p w14:paraId="7E03EA97">
      <w:pPr>
        <w:pStyle w:val="36"/>
        <w:numPr>
          <w:ilvl w:val="0"/>
          <w:numId w:val="1"/>
        </w:numPr>
        <w:spacing w:line="360" w:lineRule="auto"/>
        <w:ind w:left="119" w:firstLine="520"/>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危险废物违规处置污染环境引发突发环境事件；</w:t>
      </w:r>
    </w:p>
    <w:p w14:paraId="1AB9EC04">
      <w:pPr>
        <w:pStyle w:val="36"/>
        <w:numPr>
          <w:ilvl w:val="0"/>
          <w:numId w:val="1"/>
        </w:numPr>
        <w:spacing w:line="360" w:lineRule="auto"/>
        <w:ind w:left="119" w:firstLine="520"/>
        <w:rPr>
          <w:rFonts w:hint="eastAsia" w:ascii="宋体" w:hAnsi="宋体" w:eastAsia="宋体"/>
          <w:color w:val="000000" w:themeColor="text1"/>
          <w:sz w:val="24"/>
          <w:szCs w:val="24"/>
          <w:lang w:eastAsia="zh-CN"/>
          <w14:textFill>
            <w14:solidFill>
              <w14:schemeClr w14:val="tx1"/>
            </w14:solidFill>
          </w14:textFill>
        </w:rPr>
      </w:pPr>
      <w:r>
        <w:rPr>
          <w:rFonts w:hint="eastAsia" w:ascii="宋体" w:hAnsi="宋体"/>
          <w:color w:val="000000" w:themeColor="text1"/>
          <w:sz w:val="24"/>
          <w:szCs w:val="24"/>
          <w:lang w:val="en-US" w:eastAsia="zh-CN"/>
          <w14:textFill>
            <w14:solidFill>
              <w14:schemeClr w14:val="tx1"/>
            </w14:solidFill>
          </w14:textFill>
        </w:rPr>
        <w:t>废气泄露或超标排放污染环境引发环境事件；</w:t>
      </w:r>
    </w:p>
    <w:p w14:paraId="0BA52656">
      <w:pPr>
        <w:pStyle w:val="36"/>
        <w:spacing w:line="360" w:lineRule="auto"/>
        <w:ind w:left="119" w:firstLine="520"/>
        <w:rPr>
          <w:rFonts w:hint="eastAsia" w:ascii="宋体" w:hAnsi="宋体" w:eastAsia="宋体"/>
          <w:color w:val="000000" w:themeColor="text1"/>
          <w:sz w:val="24"/>
          <w:szCs w:val="24"/>
          <w14:textFill>
            <w14:solidFill>
              <w14:schemeClr w14:val="tx1"/>
            </w14:solidFill>
          </w14:textFill>
        </w:rPr>
      </w:pPr>
      <w:r>
        <w:rPr>
          <w:rFonts w:hint="eastAsia" w:ascii="宋体" w:hAnsi="宋体" w:eastAsia="宋体"/>
          <w:color w:val="000000" w:themeColor="text1"/>
          <w:sz w:val="24"/>
          <w:szCs w:val="24"/>
          <w14:textFill>
            <w14:solidFill>
              <w14:schemeClr w14:val="tx1"/>
            </w14:solidFill>
          </w14:textFill>
        </w:rPr>
        <w:t>（</w:t>
      </w:r>
      <w:r>
        <w:rPr>
          <w:rFonts w:hint="eastAsia" w:ascii="宋体" w:hAnsi="宋体"/>
          <w:color w:val="000000" w:themeColor="text1"/>
          <w:sz w:val="24"/>
          <w:szCs w:val="24"/>
          <w:lang w:val="en-US" w:eastAsia="zh-CN"/>
          <w14:textFill>
            <w14:solidFill>
              <w14:schemeClr w14:val="tx1"/>
            </w14:solidFill>
          </w14:textFill>
        </w:rPr>
        <w:t>3</w:t>
      </w:r>
      <w:r>
        <w:rPr>
          <w:rFonts w:hint="eastAsia" w:ascii="宋体" w:hAnsi="宋体" w:eastAsia="宋体"/>
          <w:color w:val="000000" w:themeColor="text1"/>
          <w:sz w:val="24"/>
          <w:szCs w:val="24"/>
          <w14:textFill>
            <w14:solidFill>
              <w14:schemeClr w14:val="tx1"/>
            </w14:solidFill>
          </w14:textFill>
        </w:rPr>
        <w:t>）火灾事故引起突发环境事件；</w:t>
      </w:r>
    </w:p>
    <w:p w14:paraId="5FEA0CF8">
      <w:pPr>
        <w:pStyle w:val="9"/>
        <w:numPr>
          <w:ilvl w:val="0"/>
          <w:numId w:val="0"/>
        </w:numPr>
        <w:tabs>
          <w:tab w:val="left" w:pos="648"/>
        </w:tabs>
        <w:spacing w:before="44" w:line="360" w:lineRule="auto"/>
        <w:outlineLvl w:val="1"/>
        <w:rPr>
          <w:rFonts w:hint="eastAsia" w:ascii="宋体" w:hAnsi="宋体" w:eastAsia="宋体"/>
          <w:color w:val="000000" w:themeColor="text1"/>
          <w:w w:val="95"/>
          <w:sz w:val="28"/>
          <w:szCs w:val="28"/>
          <w:lang w:eastAsia="zh-CN"/>
          <w14:textFill>
            <w14:solidFill>
              <w14:schemeClr w14:val="tx1"/>
            </w14:solidFill>
          </w14:textFill>
        </w:rPr>
      </w:pPr>
      <w:bookmarkStart w:id="33" w:name="_Toc24034"/>
      <w:bookmarkStart w:id="34" w:name="_Toc15934"/>
      <w:bookmarkStart w:id="35" w:name="_Toc27421"/>
      <w:bookmarkStart w:id="36" w:name="_Toc15297"/>
      <w:bookmarkStart w:id="37" w:name="_Toc21628"/>
      <w:bookmarkStart w:id="38" w:name="_Toc11744"/>
      <w:bookmarkStart w:id="39" w:name="_Toc5678"/>
      <w:r>
        <w:rPr>
          <w:rFonts w:hint="eastAsia" w:ascii="宋体" w:hAnsi="宋体" w:eastAsia="宋体"/>
          <w:color w:val="000000" w:themeColor="text1"/>
          <w:w w:val="95"/>
          <w:sz w:val="28"/>
          <w:szCs w:val="28"/>
          <w:lang w:eastAsia="zh-CN"/>
          <w14:textFill>
            <w14:solidFill>
              <w14:schemeClr w14:val="tx1"/>
            </w14:solidFill>
          </w14:textFill>
        </w:rPr>
        <w:t>2.</w:t>
      </w:r>
      <w:r>
        <w:rPr>
          <w:rFonts w:hint="eastAsia" w:ascii="宋体" w:hAnsi="宋体" w:eastAsia="宋体"/>
          <w:color w:val="000000" w:themeColor="text1"/>
          <w:w w:val="95"/>
          <w:sz w:val="28"/>
          <w:szCs w:val="28"/>
          <w:lang w:val="en-US" w:eastAsia="zh-CN"/>
          <w14:textFill>
            <w14:solidFill>
              <w14:schemeClr w14:val="tx1"/>
            </w14:solidFill>
          </w14:textFill>
        </w:rPr>
        <w:t>3</w:t>
      </w:r>
      <w:r>
        <w:rPr>
          <w:rFonts w:hint="eastAsia" w:ascii="宋体" w:hAnsi="宋体" w:eastAsia="宋体"/>
          <w:color w:val="000000" w:themeColor="text1"/>
          <w:w w:val="95"/>
          <w:sz w:val="28"/>
          <w:szCs w:val="28"/>
          <w:lang w:eastAsia="zh-CN"/>
          <w14:textFill>
            <w14:solidFill>
              <w14:schemeClr w14:val="tx1"/>
            </w14:solidFill>
          </w14:textFill>
        </w:rPr>
        <w:t>企业突发环境事件风险评估程序</w:t>
      </w:r>
      <w:bookmarkEnd w:id="33"/>
      <w:bookmarkEnd w:id="34"/>
      <w:bookmarkEnd w:id="35"/>
      <w:bookmarkEnd w:id="36"/>
      <w:bookmarkEnd w:id="37"/>
      <w:bookmarkEnd w:id="38"/>
      <w:bookmarkEnd w:id="39"/>
    </w:p>
    <w:p w14:paraId="1754C32E">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Times New Roman"/>
          <w:color w:val="000000" w:themeColor="text1"/>
          <w:kern w:val="2"/>
          <w:sz w:val="24"/>
          <w:szCs w:val="24"/>
          <w:lang w:val="en-US" w:eastAsia="zh-CN" w:bidi="ar-SA"/>
          <w14:textFill>
            <w14:solidFill>
              <w14:schemeClr w14:val="tx1"/>
            </w14:solidFill>
          </w14:textFill>
        </w:rPr>
      </w:pP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根据《企业突发环境事件风险分级方法》HJ941-2018要求，根据企业生产、使用、存储和释放的突发环境事件风险物质数量与其临界量的比值（Q），评估生产工艺过程与环境风险控制水平（M）以及环境风险受体敏感程度（E）的评估分析 结果，分别评估企业突发大气环境事件风险和突发水环境事件风险，将企业突发大气或水环 境事件风险等级划分为一般环境风险、较大环境风险和重大环境风险三级，分别用蓝色、黄色和红色标识。同时涉及突发大气和水环境事件风险的企业，以等级高者确定企业突发环境事件风险等级。</w:t>
      </w:r>
    </w:p>
    <w:p w14:paraId="4DEB561B">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Times New Roman"/>
          <w:color w:val="000000" w:themeColor="text1"/>
          <w:kern w:val="2"/>
          <w:sz w:val="24"/>
          <w:szCs w:val="24"/>
          <w:lang w:val="en-US" w:eastAsia="zh-CN" w:bidi="ar-SA"/>
          <w14:textFill>
            <w14:solidFill>
              <w14:schemeClr w14:val="tx1"/>
            </w14:solidFill>
          </w14:textFill>
        </w:rPr>
      </w:pP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企业下设位置毗邻的多个独立厂区，可按厂区分别评估风险等级，以等级高者确定企业突发环境事件风险等级并进行表征，也可分别表征为企业（某厂区）突发环境事件风险等级。</w:t>
      </w:r>
    </w:p>
    <w:p w14:paraId="22965E43">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Times New Roman"/>
          <w:color w:val="000000" w:themeColor="text1"/>
          <w:kern w:val="2"/>
          <w:sz w:val="24"/>
          <w:szCs w:val="24"/>
          <w:lang w:val="en-US" w:eastAsia="zh-CN" w:bidi="ar-SA"/>
          <w14:textFill>
            <w14:solidFill>
              <w14:schemeClr w14:val="tx1"/>
            </w14:solidFill>
          </w14:textFill>
        </w:rPr>
      </w:pP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企业下设位置距离较远的多个独立厂区，分别评估确定各厂区风险等级，表征为企业（某厂区）突发环境事件风险等级。</w:t>
      </w:r>
    </w:p>
    <w:p w14:paraId="7798D67D">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Times New Roman"/>
          <w:color w:val="000000" w:themeColor="text1"/>
          <w:kern w:val="2"/>
          <w:sz w:val="24"/>
          <w:szCs w:val="24"/>
          <w:lang w:val="en-US" w:eastAsia="zh-CN" w:bidi="ar-SA"/>
          <w14:textFill>
            <w14:solidFill>
              <w14:schemeClr w14:val="tx1"/>
            </w14:solidFill>
          </w14:textFill>
        </w:rPr>
      </w:pPr>
      <w:r>
        <w:rPr>
          <w:rFonts w:hint="eastAsia" w:ascii="宋体" w:hAnsi="宋体" w:cs="Times New Roman"/>
          <w:color w:val="000000" w:themeColor="text1"/>
          <w:kern w:val="2"/>
          <w:sz w:val="24"/>
          <w:szCs w:val="24"/>
          <w:lang w:val="en-US" w:eastAsia="zh-CN" w:bidi="ar-SA"/>
          <w14:textFill>
            <w14:solidFill>
              <w14:schemeClr w14:val="tx1"/>
            </w14:solidFill>
          </w14:textFill>
        </w:rPr>
        <w:t>安宁泰丰林化工有限公司</w:t>
      </w:r>
      <w:r>
        <w:rPr>
          <w:rFonts w:hint="eastAsia" w:ascii="宋体" w:hAnsi="宋体" w:eastAsia="宋体" w:cs="Times New Roman"/>
          <w:color w:val="000000" w:themeColor="text1"/>
          <w:kern w:val="2"/>
          <w:sz w:val="24"/>
          <w:szCs w:val="24"/>
          <w:lang w:val="en-US" w:eastAsia="zh-CN" w:bidi="ar-SA"/>
          <w14:textFill>
            <w14:solidFill>
              <w14:schemeClr w14:val="tx1"/>
            </w14:solidFill>
          </w14:textFill>
        </w:rPr>
        <w:t>突发环境事件风险等级划分流程示意图，见图2-1所示。</w:t>
      </w:r>
    </w:p>
    <w:p w14:paraId="52D062F9">
      <w:pPr>
        <w:pStyle w:val="37"/>
        <w:rPr>
          <w:rFonts w:hint="eastAsia" w:ascii="宋体" w:hAnsi="宋体" w:eastAsia="宋体" w:cs="Times New Roman"/>
          <w:color w:val="000000" w:themeColor="text1"/>
          <w:kern w:val="2"/>
          <w:sz w:val="24"/>
          <w:szCs w:val="24"/>
          <w:lang w:val="en-US" w:eastAsia="zh-CN" w:bidi="ar-SA"/>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drawing>
          <wp:inline distT="0" distB="0" distL="114300" distR="114300">
            <wp:extent cx="5852795" cy="6360160"/>
            <wp:effectExtent l="0" t="0" r="14605" b="254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1"/>
                    <a:stretch>
                      <a:fillRect/>
                    </a:stretch>
                  </pic:blipFill>
                  <pic:spPr>
                    <a:xfrm>
                      <a:off x="0" y="0"/>
                      <a:ext cx="5852795" cy="6360160"/>
                    </a:xfrm>
                    <a:prstGeom prst="rect">
                      <a:avLst/>
                    </a:prstGeom>
                    <a:noFill/>
                    <a:ln>
                      <a:noFill/>
                    </a:ln>
                  </pic:spPr>
                </pic:pic>
              </a:graphicData>
            </a:graphic>
          </wp:inline>
        </w:drawing>
      </w:r>
    </w:p>
    <w:p w14:paraId="16228D64">
      <w:pPr>
        <w:pStyle w:val="32"/>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p w14:paraId="75E8F8F6">
      <w:pPr>
        <w:pStyle w:val="41"/>
        <w:ind w:firstLine="480"/>
        <w:rPr>
          <w:rFonts w:hint="eastAsia" w:ascii="宋体" w:hAnsi="宋体" w:eastAsia="宋体" w:cs="宋体"/>
          <w:b w:val="0"/>
          <w:bCs w:val="0"/>
          <w:color w:val="000000" w:themeColor="text1"/>
          <w:szCs w:val="28"/>
          <w:highlight w:val="none"/>
          <w14:textFill>
            <w14:solidFill>
              <w14:schemeClr w14:val="tx1"/>
            </w14:solidFill>
          </w14:textFill>
        </w:rPr>
        <w:sectPr>
          <w:pgSz w:w="11907" w:h="16839"/>
          <w:pgMar w:top="1417" w:right="1417" w:bottom="1417" w:left="1417" w:header="1134" w:footer="1134" w:gutter="0"/>
          <w:pgBorders>
            <w:top w:val="none" w:sz="0" w:space="0"/>
            <w:left w:val="none" w:sz="0" w:space="0"/>
            <w:bottom w:val="none" w:sz="0" w:space="0"/>
            <w:right w:val="none" w:sz="0" w:space="0"/>
          </w:pgBorders>
          <w:pgNumType w:fmt="decimal"/>
          <w:cols w:space="720" w:num="1"/>
          <w:docGrid w:type="lines" w:linePitch="360" w:charSpace="0"/>
        </w:sectPr>
      </w:pPr>
      <w:r>
        <w:rPr>
          <w:rFonts w:hint="eastAsia" w:ascii="宋体" w:hAnsi="宋体" w:eastAsia="宋体" w:cs="宋体"/>
          <w:b w:val="0"/>
          <w:bCs w:val="0"/>
          <w:color w:val="000000" w:themeColor="text1"/>
          <w:highlight w:val="none"/>
          <w14:textFill>
            <w14:solidFill>
              <w14:schemeClr w14:val="tx1"/>
            </w14:solidFill>
          </w14:textFill>
        </w:rPr>
        <w:t>图2-1 企业突发环境事件风险等级划分流程示意</w:t>
      </w:r>
    </w:p>
    <w:p w14:paraId="7C7B2D4B">
      <w:pPr>
        <w:pStyle w:val="8"/>
        <w:keepLines/>
        <w:widowControl w:val="0"/>
        <w:adjustRightInd w:val="0"/>
        <w:snapToGrid w:val="0"/>
        <w:spacing w:before="360" w:beforeLines="0" w:after="240" w:afterLines="0" w:line="360" w:lineRule="auto"/>
        <w:ind w:firstLine="0" w:firstLineChars="0"/>
        <w:jc w:val="both"/>
        <w:textAlignment w:val="baseline"/>
        <w:rPr>
          <w:rFonts w:hint="eastAsia" w:ascii="Times New Roman" w:hAnsi="Times New Roman" w:eastAsia="宋体" w:cs="Times New Roman"/>
          <w:b/>
          <w:bCs w:val="0"/>
          <w:color w:val="000000" w:themeColor="text1"/>
          <w:kern w:val="28"/>
          <w:szCs w:val="20"/>
          <w:lang w:eastAsia="zh-CN" w:bidi="ar-SA"/>
          <w14:textFill>
            <w14:solidFill>
              <w14:schemeClr w14:val="tx1"/>
            </w14:solidFill>
          </w14:textFill>
        </w:rPr>
      </w:pPr>
      <w:bookmarkStart w:id="40" w:name="_Toc29571"/>
      <w:bookmarkStart w:id="41" w:name="_Toc18320"/>
      <w:bookmarkStart w:id="42" w:name="_Toc5160"/>
      <w:bookmarkStart w:id="43" w:name="_Toc21537"/>
      <w:bookmarkStart w:id="44" w:name="_Toc10326"/>
      <w:bookmarkStart w:id="45" w:name="_Toc10022"/>
      <w:bookmarkStart w:id="46" w:name="_Toc2970"/>
      <w:bookmarkStart w:id="47" w:name="_Toc21825"/>
      <w:r>
        <w:rPr>
          <w:rFonts w:hint="eastAsia" w:ascii="Times New Roman" w:hAnsi="Times New Roman" w:eastAsia="宋体" w:cs="Times New Roman"/>
          <w:b/>
          <w:bCs w:val="0"/>
          <w:color w:val="000000" w:themeColor="text1"/>
          <w:kern w:val="28"/>
          <w:szCs w:val="20"/>
          <w:lang w:eastAsia="zh-CN" w:bidi="ar-SA"/>
          <w14:textFill>
            <w14:solidFill>
              <w14:schemeClr w14:val="tx1"/>
            </w14:solidFill>
          </w14:textFill>
        </w:rPr>
        <w:t>3资料准备与环境风险识别</w:t>
      </w:r>
      <w:bookmarkEnd w:id="40"/>
      <w:bookmarkEnd w:id="41"/>
      <w:bookmarkEnd w:id="42"/>
      <w:bookmarkEnd w:id="43"/>
      <w:bookmarkEnd w:id="44"/>
      <w:bookmarkEnd w:id="45"/>
      <w:bookmarkEnd w:id="46"/>
      <w:bookmarkEnd w:id="47"/>
    </w:p>
    <w:p w14:paraId="0F925A2F">
      <w:pPr>
        <w:pStyle w:val="9"/>
        <w:keepNext/>
        <w:keepLines/>
        <w:spacing w:before="260" w:beforeLines="0" w:after="260" w:afterLines="0" w:line="416" w:lineRule="auto"/>
        <w:ind w:firstLine="0" w:firstLineChars="0"/>
        <w:rPr>
          <w:rFonts w:hint="eastAsia" w:ascii="Arial" w:hAnsi="Arial" w:eastAsia="宋体" w:cs="Times New Roman"/>
          <w:b/>
          <w:bCs/>
          <w:color w:val="000000" w:themeColor="text1"/>
          <w:kern w:val="2"/>
          <w:sz w:val="28"/>
          <w:szCs w:val="28"/>
          <w:lang w:eastAsia="zh-CN"/>
          <w14:textFill>
            <w14:solidFill>
              <w14:schemeClr w14:val="tx1"/>
            </w14:solidFill>
          </w14:textFill>
        </w:rPr>
      </w:pPr>
      <w:bookmarkStart w:id="48" w:name="_Toc22388"/>
      <w:bookmarkStart w:id="49" w:name="_Toc488779603"/>
      <w:bookmarkStart w:id="50" w:name="_Toc23076"/>
      <w:bookmarkStart w:id="51" w:name="_Toc7953"/>
      <w:bookmarkStart w:id="52" w:name="_Toc18873"/>
      <w:bookmarkStart w:id="53" w:name="_Toc30922"/>
      <w:bookmarkStart w:id="54" w:name="_Toc22328"/>
      <w:bookmarkStart w:id="55" w:name="_Toc16808"/>
      <w:bookmarkStart w:id="56" w:name="_Toc8199"/>
      <w:bookmarkStart w:id="57" w:name="_Toc16230"/>
      <w:r>
        <w:rPr>
          <w:rFonts w:hint="eastAsia" w:ascii="Arial" w:hAnsi="Arial" w:eastAsia="宋体" w:cs="Times New Roman"/>
          <w:b/>
          <w:bCs/>
          <w:color w:val="000000" w:themeColor="text1"/>
          <w:kern w:val="2"/>
          <w:sz w:val="28"/>
          <w:szCs w:val="28"/>
          <w:lang w:eastAsia="zh-CN"/>
          <w14:textFill>
            <w14:solidFill>
              <w14:schemeClr w14:val="tx1"/>
            </w14:solidFill>
          </w14:textFill>
        </w:rPr>
        <w:t>3.1 企业基本信息</w:t>
      </w:r>
      <w:bookmarkEnd w:id="48"/>
      <w:bookmarkEnd w:id="49"/>
      <w:bookmarkEnd w:id="50"/>
      <w:bookmarkEnd w:id="51"/>
      <w:bookmarkEnd w:id="52"/>
      <w:bookmarkEnd w:id="53"/>
      <w:bookmarkEnd w:id="54"/>
      <w:bookmarkEnd w:id="55"/>
      <w:bookmarkEnd w:id="56"/>
      <w:bookmarkEnd w:id="57"/>
    </w:p>
    <w:p w14:paraId="28CF8EE2">
      <w:pPr>
        <w:pStyle w:val="10"/>
        <w:keepNext/>
        <w:keepLines/>
        <w:spacing w:before="140" w:beforeLines="0" w:after="140" w:afterLines="0" w:line="416" w:lineRule="auto"/>
        <w:ind w:firstLine="0" w:firstLineChars="0"/>
        <w:jc w:val="both"/>
        <w:rPr>
          <w:rFonts w:hint="eastAsia" w:ascii="宋体" w:hAnsi="宋体" w:eastAsia="宋体" w:cs="Times New Roman"/>
          <w:b/>
          <w:bCs/>
          <w:color w:val="000000" w:themeColor="text1"/>
          <w:sz w:val="28"/>
          <w:szCs w:val="28"/>
          <w:lang w:val="en-US" w:eastAsia="zh-CN"/>
          <w14:textFill>
            <w14:solidFill>
              <w14:schemeClr w14:val="tx1"/>
            </w14:solidFill>
          </w14:textFill>
        </w:rPr>
      </w:pPr>
      <w:bookmarkStart w:id="58" w:name="_Toc22837"/>
      <w:bookmarkStart w:id="59" w:name="_Toc11097"/>
      <w:bookmarkStart w:id="60" w:name="_Toc25174"/>
      <w:bookmarkStart w:id="61" w:name="_Toc26959"/>
      <w:bookmarkStart w:id="62" w:name="_Toc869"/>
      <w:bookmarkStart w:id="63" w:name="_Toc14904"/>
      <w:bookmarkStart w:id="64" w:name="_Toc24679"/>
      <w:bookmarkStart w:id="65" w:name="_Toc20392"/>
      <w:bookmarkStart w:id="66" w:name="_Toc15270"/>
      <w:r>
        <w:rPr>
          <w:rFonts w:hint="eastAsia" w:ascii="宋体" w:hAnsi="宋体" w:eastAsia="宋体" w:cs="Times New Roman"/>
          <w:b/>
          <w:bCs/>
          <w:color w:val="000000" w:themeColor="text1"/>
          <w:sz w:val="28"/>
          <w:szCs w:val="28"/>
          <w:lang w:val="en-US" w:eastAsia="zh-CN"/>
          <w14:textFill>
            <w14:solidFill>
              <w14:schemeClr w14:val="tx1"/>
            </w14:solidFill>
          </w14:textFill>
        </w:rPr>
        <w:t>3.1.1</w:t>
      </w:r>
      <w:bookmarkEnd w:id="58"/>
      <w:bookmarkEnd w:id="59"/>
      <w:bookmarkEnd w:id="60"/>
      <w:bookmarkEnd w:id="61"/>
      <w:bookmarkEnd w:id="62"/>
      <w:r>
        <w:rPr>
          <w:rFonts w:hint="eastAsia" w:ascii="宋体" w:hAnsi="宋体" w:eastAsia="宋体" w:cs="Times New Roman"/>
          <w:b/>
          <w:bCs/>
          <w:color w:val="000000" w:themeColor="text1"/>
          <w:sz w:val="28"/>
          <w:szCs w:val="28"/>
          <w:lang w:val="en-US" w:eastAsia="zh-CN"/>
          <w14:textFill>
            <w14:solidFill>
              <w14:schemeClr w14:val="tx1"/>
            </w14:solidFill>
          </w14:textFill>
        </w:rPr>
        <w:t>单位情况简介</w:t>
      </w:r>
      <w:bookmarkEnd w:id="63"/>
      <w:bookmarkEnd w:id="64"/>
      <w:bookmarkEnd w:id="65"/>
      <w:bookmarkEnd w:id="66"/>
    </w:p>
    <w:p w14:paraId="4B7B38C4">
      <w:pPr>
        <w:spacing w:line="360" w:lineRule="auto"/>
        <w:ind w:firstLine="480" w:firstLineChars="200"/>
        <w:rPr>
          <w:color w:val="000000" w:themeColor="text1"/>
          <w:sz w:val="24"/>
          <w14:textFill>
            <w14:solidFill>
              <w14:schemeClr w14:val="tx1"/>
            </w14:solidFill>
          </w14:textFill>
        </w:rPr>
      </w:pPr>
      <w:r>
        <w:rPr>
          <w:color w:val="000000" w:themeColor="text1"/>
          <w:sz w:val="24"/>
          <w14:textFill>
            <w14:solidFill>
              <w14:schemeClr w14:val="tx1"/>
            </w14:solidFill>
          </w14:textFill>
        </w:rPr>
        <w:t>安宁泰丰林化工有限公司成立于2005年12月08日，</w:t>
      </w:r>
      <w:r>
        <w:rPr>
          <w:rFonts w:hint="eastAsia"/>
          <w:color w:val="000000" w:themeColor="text1"/>
          <w:sz w:val="24"/>
          <w:lang w:val="en-US" w:eastAsia="zh-CN"/>
          <w14:textFill>
            <w14:solidFill>
              <w14:schemeClr w14:val="tx1"/>
            </w14:solidFill>
          </w14:textFill>
        </w:rPr>
        <w:t>位于安宁市禄脿镇安丰营村，占地</w:t>
      </w:r>
      <w:r>
        <w:rPr>
          <w:color w:val="000000" w:themeColor="text1"/>
          <w:kern w:val="0"/>
          <w:sz w:val="24"/>
          <w:lang w:bidi="ar"/>
          <w14:textFill>
            <w14:solidFill>
              <w14:schemeClr w14:val="tx1"/>
            </w14:solidFill>
          </w14:textFill>
        </w:rPr>
        <w:t>地面积为17780.93m</w:t>
      </w:r>
      <w:r>
        <w:rPr>
          <w:color w:val="000000" w:themeColor="text1"/>
          <w:kern w:val="0"/>
          <w:sz w:val="24"/>
          <w:vertAlign w:val="superscript"/>
          <w:lang w:bidi="ar"/>
          <w14:textFill>
            <w14:solidFill>
              <w14:schemeClr w14:val="tx1"/>
            </w14:solidFill>
          </w14:textFill>
        </w:rPr>
        <w:t>2</w:t>
      </w:r>
      <w:r>
        <w:rPr>
          <w:color w:val="000000" w:themeColor="text1"/>
          <w:kern w:val="0"/>
          <w:sz w:val="24"/>
          <w:lang w:bidi="ar"/>
          <w14:textFill>
            <w14:solidFill>
              <w14:schemeClr w14:val="tx1"/>
            </w14:solidFill>
          </w14:textFill>
        </w:rPr>
        <w:t>（约26.67亩）</w:t>
      </w:r>
      <w:r>
        <w:rPr>
          <w:rFonts w:hint="eastAsia"/>
          <w:color w:val="000000" w:themeColor="text1"/>
          <w:kern w:val="0"/>
          <w:sz w:val="24"/>
          <w:lang w:eastAsia="zh-CN" w:bidi="ar"/>
          <w14:textFill>
            <w14:solidFill>
              <w14:schemeClr w14:val="tx1"/>
            </w14:solidFill>
          </w14:textFill>
        </w:rPr>
        <w:t>，</w:t>
      </w:r>
      <w:r>
        <w:rPr>
          <w:color w:val="000000" w:themeColor="text1"/>
          <w:sz w:val="24"/>
          <w14:textFill>
            <w14:solidFill>
              <w14:schemeClr w14:val="tx1"/>
            </w14:solidFill>
          </w14:textFill>
        </w:rPr>
        <w:t>经营范围为松香的加工、销售</w:t>
      </w:r>
      <w:r>
        <w:rPr>
          <w:rFonts w:hint="eastAsia"/>
          <w:color w:val="000000" w:themeColor="text1"/>
          <w:sz w:val="24"/>
          <w:lang w:eastAsia="zh-CN"/>
          <w14:textFill>
            <w14:solidFill>
              <w14:schemeClr w14:val="tx1"/>
            </w14:solidFill>
          </w14:textFill>
        </w:rPr>
        <w:t>。</w:t>
      </w:r>
      <w:r>
        <w:rPr>
          <w:color w:val="000000" w:themeColor="text1"/>
          <w:sz w:val="24"/>
          <w:szCs w:val="22"/>
          <w:lang w:bidi="ar"/>
          <w14:textFill>
            <w14:solidFill>
              <w14:schemeClr w14:val="tx1"/>
            </w14:solidFill>
          </w14:textFill>
        </w:rPr>
        <w:t>随着经济高速发展，市场对烟用松香质量要求提升，为满足市场需求，</w:t>
      </w:r>
      <w:r>
        <w:rPr>
          <w:rFonts w:hint="eastAsia"/>
          <w:color w:val="000000" w:themeColor="text1"/>
          <w:sz w:val="24"/>
          <w:szCs w:val="22"/>
          <w:lang w:val="en-US" w:eastAsia="zh-CN" w:bidi="ar"/>
          <w14:textFill>
            <w14:solidFill>
              <w14:schemeClr w14:val="tx1"/>
            </w14:solidFill>
          </w14:textFill>
        </w:rPr>
        <w:t>2023</w:t>
      </w:r>
      <w:r>
        <w:rPr>
          <w:color w:val="000000" w:themeColor="text1"/>
          <w:sz w:val="24"/>
          <w14:textFill>
            <w14:solidFill>
              <w14:schemeClr w14:val="tx1"/>
            </w14:solidFill>
          </w14:textFill>
        </w:rPr>
        <w:t>安宁泰丰林化工有限公司</w:t>
      </w:r>
      <w:r>
        <w:rPr>
          <w:rFonts w:hint="eastAsia"/>
          <w:color w:val="000000" w:themeColor="text1"/>
          <w:sz w:val="24"/>
          <w:lang w:val="en-US" w:eastAsia="zh-CN"/>
          <w14:textFill>
            <w14:solidFill>
              <w14:schemeClr w14:val="tx1"/>
            </w14:solidFill>
          </w14:textFill>
        </w:rPr>
        <w:t>投</w:t>
      </w:r>
      <w:r>
        <w:rPr>
          <w:color w:val="000000" w:themeColor="text1"/>
          <w:sz w:val="24"/>
          <w:lang w:val="zh-CN"/>
          <w14:textFill>
            <w14:solidFill>
              <w14:schemeClr w14:val="tx1"/>
            </w14:solidFill>
          </w14:textFill>
        </w:rPr>
        <w:t>资</w:t>
      </w:r>
      <w:r>
        <w:rPr>
          <w:color w:val="000000" w:themeColor="text1"/>
          <w:sz w:val="24"/>
          <w14:textFill>
            <w14:solidFill>
              <w14:schemeClr w14:val="tx1"/>
            </w14:solidFill>
          </w14:textFill>
        </w:rPr>
        <w:t>500</w:t>
      </w:r>
      <w:r>
        <w:rPr>
          <w:color w:val="000000" w:themeColor="text1"/>
          <w:sz w:val="24"/>
          <w:lang w:val="zh-CN"/>
          <w14:textFill>
            <w14:solidFill>
              <w14:schemeClr w14:val="tx1"/>
            </w14:solidFill>
          </w14:textFill>
        </w:rPr>
        <w:t>万元在安宁市禄脿街道办事处安丰营村</w:t>
      </w:r>
      <w:r>
        <w:rPr>
          <w:color w:val="000000" w:themeColor="text1"/>
          <w:sz w:val="24"/>
          <w14:textFill>
            <w14:solidFill>
              <w14:schemeClr w14:val="tx1"/>
            </w14:solidFill>
          </w14:textFill>
        </w:rPr>
        <w:t>内建设“安宁泰丰林化工有限公司松香生产线提质增效改造项目”。</w:t>
      </w:r>
    </w:p>
    <w:p w14:paraId="006A9A9D">
      <w:pPr>
        <w:pStyle w:val="16"/>
        <w:ind w:left="0" w:leftChars="0" w:firstLine="480" w:firstLineChars="200"/>
        <w:rPr>
          <w:rFonts w:hint="eastAsia" w:ascii="Calibri" w:hAnsi="Calibri" w:cs="Times New Roman"/>
          <w:color w:val="000000" w:themeColor="text1"/>
          <w:kern w:val="2"/>
          <w:sz w:val="24"/>
          <w:szCs w:val="22"/>
          <w:lang w:val="en-US" w:eastAsia="zh-CN" w:bidi="ar-SA"/>
          <w14:textFill>
            <w14:solidFill>
              <w14:schemeClr w14:val="tx1"/>
            </w14:solidFill>
          </w14:textFill>
        </w:rPr>
      </w:pP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公司2023年“</w:t>
      </w:r>
      <w:r>
        <w:rPr>
          <w:rFonts w:ascii="Calibri" w:hAnsi="Calibri" w:eastAsia="宋体" w:cs="Times New Roman"/>
          <w:color w:val="000000" w:themeColor="text1"/>
          <w:kern w:val="2"/>
          <w:sz w:val="24"/>
          <w:szCs w:val="22"/>
          <w:lang w:val="en-US" w:eastAsia="zh-CN" w:bidi="ar-SA"/>
          <w14:textFill>
            <w14:solidFill>
              <w14:schemeClr w14:val="tx1"/>
            </w14:solidFill>
          </w14:textFill>
        </w:rPr>
        <w:t>松香生产线提质增效</w:t>
      </w: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”技改</w:t>
      </w:r>
      <w:r>
        <w:rPr>
          <w:rFonts w:hint="eastAsia" w:ascii="Calibri" w:hAnsi="Calibri" w:cs="Times New Roman"/>
          <w:color w:val="000000" w:themeColor="text1"/>
          <w:kern w:val="2"/>
          <w:sz w:val="24"/>
          <w:szCs w:val="22"/>
          <w:lang w:val="en-US" w:eastAsia="zh-CN" w:bidi="ar-SA"/>
          <w14:textFill>
            <w14:solidFill>
              <w14:schemeClr w14:val="tx1"/>
            </w14:solidFill>
          </w14:textFill>
        </w:rPr>
        <w:t>建设</w:t>
      </w: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一条</w:t>
      </w:r>
      <w:r>
        <w:rPr>
          <w:rFonts w:hint="eastAsia" w:ascii="Calibri" w:hAnsi="Calibri" w:cs="Times New Roman"/>
          <w:color w:val="000000" w:themeColor="text1"/>
          <w:kern w:val="2"/>
          <w:sz w:val="24"/>
          <w:szCs w:val="22"/>
          <w:lang w:val="en-US" w:eastAsia="zh-CN" w:bidi="ar-SA"/>
          <w14:textFill>
            <w14:solidFill>
              <w14:schemeClr w14:val="tx1"/>
            </w14:solidFill>
          </w14:textFill>
        </w:rPr>
        <w:t>“</w:t>
      </w:r>
      <w:r>
        <w:rPr>
          <w:rFonts w:ascii="Calibri" w:hAnsi="Calibri" w:eastAsia="宋体" w:cs="Times New Roman"/>
          <w:color w:val="000000" w:themeColor="text1"/>
          <w:kern w:val="2"/>
          <w:sz w:val="24"/>
          <w:szCs w:val="22"/>
          <w:lang w:val="en-US" w:eastAsia="zh-CN" w:bidi="ar-SA"/>
          <w14:textFill>
            <w14:solidFill>
              <w14:schemeClr w14:val="tx1"/>
            </w14:solidFill>
          </w14:textFill>
        </w:rPr>
        <w:t>年产1000t精制松香、1000t松香</w:t>
      </w: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生产线</w:t>
      </w:r>
      <w:r>
        <w:rPr>
          <w:rFonts w:hint="eastAsia" w:ascii="Calibri" w:hAnsi="Calibri" w:cs="Times New Roman"/>
          <w:color w:val="000000" w:themeColor="text1"/>
          <w:kern w:val="2"/>
          <w:sz w:val="24"/>
          <w:szCs w:val="22"/>
          <w:lang w:val="en-US" w:eastAsia="zh-CN" w:bidi="ar-SA"/>
          <w14:textFill>
            <w14:solidFill>
              <w14:schemeClr w14:val="tx1"/>
            </w14:solidFill>
          </w14:textFill>
        </w:rPr>
        <w:t>”，公司建设松香生产线生产车间，原料仓库，成品仓库，锅炉房，燃料堆放区，松节油重油储罐区等。</w:t>
      </w:r>
    </w:p>
    <w:p w14:paraId="6CF83847">
      <w:pPr>
        <w:spacing w:line="360" w:lineRule="auto"/>
        <w:ind w:firstLine="480" w:firstLineChars="200"/>
        <w:rPr>
          <w:rFonts w:ascii="Calibri" w:hAnsi="Calibri" w:eastAsia="宋体" w:cs="Times New Roman"/>
          <w:color w:val="000000" w:themeColor="text1"/>
          <w:kern w:val="2"/>
          <w:sz w:val="24"/>
          <w:szCs w:val="22"/>
          <w:lang w:val="en-US" w:eastAsia="zh-CN" w:bidi="ar-SA"/>
          <w14:textFill>
            <w14:solidFill>
              <w14:schemeClr w14:val="tx1"/>
            </w14:solidFill>
          </w14:textFill>
        </w:rPr>
      </w:pPr>
      <w:r>
        <w:rPr>
          <w:rFonts w:ascii="Calibri" w:hAnsi="Calibri" w:eastAsia="宋体" w:cs="Times New Roman"/>
          <w:color w:val="000000" w:themeColor="text1"/>
          <w:kern w:val="2"/>
          <w:sz w:val="24"/>
          <w:szCs w:val="22"/>
          <w:lang w:val="en-US" w:eastAsia="zh-CN" w:bidi="ar-SA"/>
          <w14:textFill>
            <w14:solidFill>
              <w14:schemeClr w14:val="tx1"/>
            </w14:solidFill>
          </w14:textFill>
        </w:rPr>
        <w:t>2023年04月13日，</w:t>
      </w: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公司</w:t>
      </w:r>
      <w:r>
        <w:rPr>
          <w:rFonts w:ascii="Calibri" w:hAnsi="Calibri" w:eastAsia="宋体" w:cs="Times New Roman"/>
          <w:color w:val="000000" w:themeColor="text1"/>
          <w:kern w:val="2"/>
          <w:sz w:val="24"/>
          <w:szCs w:val="22"/>
          <w:lang w:val="en-US" w:eastAsia="zh-CN" w:bidi="ar-SA"/>
          <w14:textFill>
            <w14:solidFill>
              <w14:schemeClr w14:val="tx1"/>
            </w14:solidFill>
          </w14:textFill>
        </w:rPr>
        <w:t>取得了</w:t>
      </w:r>
      <w:r>
        <w:rPr>
          <w:color w:val="000000" w:themeColor="text1"/>
          <w:sz w:val="24"/>
          <w14:textFill>
            <w14:solidFill>
              <w14:schemeClr w14:val="tx1"/>
            </w14:solidFill>
          </w14:textFill>
        </w:rPr>
        <w:t>“安宁泰丰林化工有限公司松香生产线提质增效改造项目”</w:t>
      </w:r>
      <w:r>
        <w:rPr>
          <w:rFonts w:ascii="Calibri" w:hAnsi="Calibri" w:eastAsia="宋体" w:cs="Times New Roman"/>
          <w:color w:val="000000" w:themeColor="text1"/>
          <w:kern w:val="2"/>
          <w:sz w:val="24"/>
          <w:szCs w:val="22"/>
          <w:lang w:val="en-US" w:eastAsia="zh-CN" w:bidi="ar-SA"/>
          <w14:textFill>
            <w14:solidFill>
              <w14:schemeClr w14:val="tx1"/>
            </w14:solidFill>
          </w14:textFill>
        </w:rPr>
        <w:t>安宁市发展和改革局核发的云南省固定资产投资项目备案证，项目代码为：2304-530181-04-05-219476，备案产能为年产3000t精制松香。因自产生物质燃料（松香残渣）不能满足生产3000t精制松香的用量，经与建设单位确认，技术改造后实际产能为：年产1000t精制松香、1000t松香。</w:t>
      </w:r>
    </w:p>
    <w:p w14:paraId="04CDCBCC">
      <w:pPr>
        <w:spacing w:line="360" w:lineRule="auto"/>
        <w:ind w:firstLine="480" w:firstLineChars="20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2023年9月编制</w:t>
      </w:r>
      <w:r>
        <w:rPr>
          <w:rFonts w:ascii="Calibri" w:hAnsi="Calibri" w:eastAsia="宋体" w:cs="Times New Roman"/>
          <w:color w:val="000000" w:themeColor="text1"/>
          <w:kern w:val="2"/>
          <w:sz w:val="24"/>
          <w:szCs w:val="22"/>
          <w:lang w:val="en-US" w:eastAsia="zh-CN" w:bidi="ar-SA"/>
          <w14:textFill>
            <w14:solidFill>
              <w14:schemeClr w14:val="tx1"/>
            </w14:solidFill>
          </w14:textFill>
        </w:rPr>
        <w:t>《安宁泰丰林化工有限公司松香生产线提质增效改造项目环境影响报告表》</w:t>
      </w: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，取得昆明市生态环境工程评估中心关于对《安宁泰丰林化工有限公司松香生产线提质增效改造项目环境影响报告表》昆环评估意见安宁【2023】68号。</w:t>
      </w:r>
    </w:p>
    <w:p w14:paraId="5C9EA1AD">
      <w:pPr>
        <w:pStyle w:val="33"/>
        <w:spacing w:line="360" w:lineRule="auto"/>
        <w:ind w:firstLine="480" w:firstLineChars="200"/>
        <w:rPr>
          <w:rFonts w:hint="default" w:ascii="Calibri" w:hAnsi="Calibri" w:eastAsia="宋体" w:cs="Times New Roman"/>
          <w:color w:val="000000" w:themeColor="text1"/>
          <w:kern w:val="2"/>
          <w:sz w:val="24"/>
          <w:szCs w:val="22"/>
          <w:lang w:val="en-US" w:eastAsia="zh-CN" w:bidi="ar-SA"/>
          <w14:textFill>
            <w14:solidFill>
              <w14:schemeClr w14:val="tx1"/>
            </w14:solidFill>
          </w14:textFill>
        </w:rPr>
      </w:pPr>
      <w:r>
        <w:rPr>
          <w:rFonts w:hint="eastAsia" w:ascii="Calibri" w:hAnsi="Calibri" w:eastAsia="宋体" w:cs="Times New Roman"/>
          <w:color w:val="000000" w:themeColor="text1"/>
          <w:kern w:val="2"/>
          <w:sz w:val="24"/>
          <w:szCs w:val="22"/>
          <w:lang w:val="en-US" w:eastAsia="zh-CN" w:bidi="ar-SA"/>
          <w14:textFill>
            <w14:solidFill>
              <w14:schemeClr w14:val="tx1"/>
            </w14:solidFill>
          </w14:textFill>
        </w:rPr>
        <w:t>松香是一种天然树脂，是一种多种有机酸的混合物，具有特有的化学活性，是造纸、肥皂、涂料、油墨、橡胶、合成树脂、电器、绝缘材料、有机合成等重要的化工原料，在轻工业中具有广泛用途。</w:t>
      </w:r>
    </w:p>
    <w:p w14:paraId="55FC5125">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579F3908">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2FDA268C">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009BA59D">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0178C620">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5BC0ED9A">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6E86267E">
      <w:p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p>
    <w:p w14:paraId="33A0700F">
      <w:pPr>
        <w:ind w:firstLine="480"/>
        <w:rPr>
          <w:rFonts w:hint="eastAsia" w:asciiTheme="minorEastAsia" w:hAnsiTheme="minorEastAsia" w:eastAsiaTheme="minorEastAsia" w:cstheme="minorEastAsia"/>
          <w:color w:val="000000" w:themeColor="text1"/>
          <w:sz w:val="24"/>
          <w:szCs w:val="24"/>
          <w:highlight w:val="none"/>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安宁泰丰林化工</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有限公司</w:t>
      </w:r>
      <w:r>
        <w:rPr>
          <w:rFonts w:hint="eastAsia" w:asciiTheme="minorEastAsia" w:hAnsiTheme="minorEastAsia" w:eastAsiaTheme="minorEastAsia" w:cstheme="minorEastAsia"/>
          <w:color w:val="000000" w:themeColor="text1"/>
          <w:sz w:val="24"/>
          <w:szCs w:val="24"/>
          <w:highlight w:val="none"/>
          <w14:textFill>
            <w14:solidFill>
              <w14:schemeClr w14:val="tx1"/>
            </w14:solidFill>
          </w14:textFill>
        </w:rPr>
        <w:t>基本情况汇总见表3-1。</w:t>
      </w:r>
    </w:p>
    <w:p w14:paraId="6AFBF33E">
      <w:pPr>
        <w:ind w:firstLine="482"/>
        <w:jc w:val="cente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t>表3-1企业基本情况汇总表</w:t>
      </w:r>
    </w:p>
    <w:tbl>
      <w:tblPr>
        <w:tblStyle w:val="23"/>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541"/>
        <w:gridCol w:w="3641"/>
        <w:gridCol w:w="1453"/>
        <w:gridCol w:w="2651"/>
      </w:tblGrid>
      <w:tr w14:paraId="450671E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98" w:hRule="atLeast"/>
          <w:jc w:val="center"/>
        </w:trPr>
        <w:tc>
          <w:tcPr>
            <w:tcW w:w="830" w:type="pct"/>
            <w:tcBorders>
              <w:tl2br w:val="nil"/>
              <w:tr2bl w:val="nil"/>
            </w:tcBorders>
            <w:noWrap w:val="0"/>
            <w:vAlign w:val="center"/>
          </w:tcPr>
          <w:p w14:paraId="612D55B2">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单位名称</w:t>
            </w:r>
          </w:p>
        </w:tc>
        <w:tc>
          <w:tcPr>
            <w:tcW w:w="4169" w:type="pct"/>
            <w:gridSpan w:val="3"/>
            <w:tcBorders>
              <w:tl2br w:val="nil"/>
              <w:tr2bl w:val="nil"/>
            </w:tcBorders>
            <w:noWrap w:val="0"/>
            <w:vAlign w:val="center"/>
          </w:tcPr>
          <w:p w14:paraId="46E01603">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安宁泰丰林化工有限公司</w:t>
            </w:r>
          </w:p>
        </w:tc>
      </w:tr>
      <w:tr w14:paraId="6AB6308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830" w:type="pct"/>
            <w:tcBorders>
              <w:tl2br w:val="nil"/>
              <w:tr2bl w:val="nil"/>
            </w:tcBorders>
            <w:noWrap w:val="0"/>
            <w:vAlign w:val="center"/>
          </w:tcPr>
          <w:p w14:paraId="6406D55D">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单位地址</w:t>
            </w:r>
          </w:p>
        </w:tc>
        <w:tc>
          <w:tcPr>
            <w:tcW w:w="1960" w:type="pct"/>
            <w:tcBorders>
              <w:tl2br w:val="nil"/>
              <w:tr2bl w:val="nil"/>
            </w:tcBorders>
            <w:noWrap w:val="0"/>
            <w:vAlign w:val="center"/>
          </w:tcPr>
          <w:p w14:paraId="13BE9DB6">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zh-CN" w:eastAsia="zh-CN"/>
                <w14:textFill>
                  <w14:solidFill>
                    <w14:schemeClr w14:val="tx1"/>
                  </w14:solidFill>
                </w14:textFill>
              </w:rPr>
              <w:t>禄脿街道办事处安丰营村</w:t>
            </w:r>
          </w:p>
        </w:tc>
        <w:tc>
          <w:tcPr>
            <w:tcW w:w="782" w:type="pct"/>
            <w:tcBorders>
              <w:tl2br w:val="nil"/>
              <w:tr2bl w:val="nil"/>
            </w:tcBorders>
            <w:noWrap w:val="0"/>
            <w:vAlign w:val="center"/>
          </w:tcPr>
          <w:p w14:paraId="20E6D3D8">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所在市/县</w:t>
            </w:r>
          </w:p>
        </w:tc>
        <w:tc>
          <w:tcPr>
            <w:tcW w:w="1426" w:type="pct"/>
            <w:tcBorders>
              <w:tl2br w:val="nil"/>
              <w:tr2bl w:val="nil"/>
            </w:tcBorders>
            <w:noWrap w:val="0"/>
            <w:vAlign w:val="center"/>
          </w:tcPr>
          <w:p w14:paraId="3B848FE3">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昆明市安宁市</w:t>
            </w:r>
          </w:p>
        </w:tc>
      </w:tr>
      <w:tr w14:paraId="692E4CF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87" w:hRule="atLeast"/>
          <w:jc w:val="center"/>
        </w:trPr>
        <w:tc>
          <w:tcPr>
            <w:tcW w:w="830" w:type="pct"/>
            <w:tcBorders>
              <w:tl2br w:val="nil"/>
              <w:tr2bl w:val="nil"/>
            </w:tcBorders>
            <w:noWrap w:val="0"/>
            <w:vAlign w:val="center"/>
          </w:tcPr>
          <w:p w14:paraId="4F1F2377">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企业性质</w:t>
            </w:r>
          </w:p>
        </w:tc>
        <w:tc>
          <w:tcPr>
            <w:tcW w:w="1960" w:type="pct"/>
            <w:tcBorders>
              <w:tl2br w:val="nil"/>
              <w:tr2bl w:val="nil"/>
            </w:tcBorders>
            <w:noWrap w:val="0"/>
            <w:vAlign w:val="center"/>
          </w:tcPr>
          <w:p w14:paraId="1A1EA33F">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有限责任公司（自然人投资或控股）</w:t>
            </w:r>
          </w:p>
        </w:tc>
        <w:tc>
          <w:tcPr>
            <w:tcW w:w="782" w:type="pct"/>
            <w:tcBorders>
              <w:tl2br w:val="nil"/>
              <w:tr2bl w:val="nil"/>
            </w:tcBorders>
            <w:noWrap w:val="0"/>
            <w:vAlign w:val="center"/>
          </w:tcPr>
          <w:p w14:paraId="69FF664E">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所在街道（镇）</w:t>
            </w:r>
          </w:p>
        </w:tc>
        <w:tc>
          <w:tcPr>
            <w:tcW w:w="1426" w:type="pct"/>
            <w:tcBorders>
              <w:tl2br w:val="nil"/>
              <w:tr2bl w:val="nil"/>
            </w:tcBorders>
            <w:noWrap w:val="0"/>
            <w:vAlign w:val="center"/>
          </w:tcPr>
          <w:p w14:paraId="5AF7C058">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zh-CN" w:eastAsia="zh-CN"/>
                <w14:textFill>
                  <w14:solidFill>
                    <w14:schemeClr w14:val="tx1"/>
                  </w14:solidFill>
                </w14:textFill>
              </w:rPr>
              <w:t>禄脿街道</w:t>
            </w:r>
          </w:p>
        </w:tc>
      </w:tr>
      <w:tr w14:paraId="0F211C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30" w:hRule="atLeast"/>
          <w:jc w:val="center"/>
        </w:trPr>
        <w:tc>
          <w:tcPr>
            <w:tcW w:w="830" w:type="pct"/>
            <w:tcBorders>
              <w:tl2br w:val="nil"/>
              <w:tr2bl w:val="nil"/>
            </w:tcBorders>
            <w:noWrap w:val="0"/>
            <w:vAlign w:val="center"/>
          </w:tcPr>
          <w:p w14:paraId="4FA21D82">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法人代表</w:t>
            </w:r>
          </w:p>
        </w:tc>
        <w:tc>
          <w:tcPr>
            <w:tcW w:w="1960" w:type="pct"/>
            <w:tcBorders>
              <w:tl2br w:val="nil"/>
              <w:tr2bl w:val="nil"/>
            </w:tcBorders>
            <w:noWrap w:val="0"/>
            <w:vAlign w:val="center"/>
          </w:tcPr>
          <w:p w14:paraId="59FB8F8A">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李啟进</w:t>
            </w:r>
          </w:p>
        </w:tc>
        <w:tc>
          <w:tcPr>
            <w:tcW w:w="782" w:type="pct"/>
            <w:tcBorders>
              <w:tl2br w:val="nil"/>
              <w:tr2bl w:val="nil"/>
            </w:tcBorders>
            <w:noWrap w:val="0"/>
            <w:vAlign w:val="center"/>
          </w:tcPr>
          <w:p w14:paraId="16B1C28C">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所在社区（村）</w:t>
            </w:r>
          </w:p>
        </w:tc>
        <w:tc>
          <w:tcPr>
            <w:tcW w:w="1426" w:type="pct"/>
            <w:tcBorders>
              <w:tl2br w:val="nil"/>
              <w:tr2bl w:val="nil"/>
            </w:tcBorders>
            <w:noWrap w:val="0"/>
            <w:vAlign w:val="center"/>
          </w:tcPr>
          <w:p w14:paraId="11165685">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w:t>
            </w:r>
          </w:p>
        </w:tc>
      </w:tr>
      <w:tr w14:paraId="384F27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94" w:hRule="atLeast"/>
          <w:jc w:val="center"/>
        </w:trPr>
        <w:tc>
          <w:tcPr>
            <w:tcW w:w="830" w:type="pct"/>
            <w:tcBorders>
              <w:tl2br w:val="nil"/>
              <w:tr2bl w:val="nil"/>
            </w:tcBorders>
            <w:noWrap w:val="0"/>
            <w:vAlign w:val="center"/>
          </w:tcPr>
          <w:p w14:paraId="5038A8C0">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联系电话</w:t>
            </w:r>
          </w:p>
        </w:tc>
        <w:tc>
          <w:tcPr>
            <w:tcW w:w="1960" w:type="pct"/>
            <w:tcBorders>
              <w:tl2br w:val="nil"/>
              <w:tr2bl w:val="nil"/>
            </w:tcBorders>
            <w:noWrap w:val="0"/>
            <w:vAlign w:val="center"/>
          </w:tcPr>
          <w:p w14:paraId="251B75CF">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13708492075</w:t>
            </w:r>
          </w:p>
        </w:tc>
        <w:tc>
          <w:tcPr>
            <w:tcW w:w="782" w:type="pct"/>
            <w:tcBorders>
              <w:tl2br w:val="nil"/>
              <w:tr2bl w:val="nil"/>
            </w:tcBorders>
            <w:noWrap w:val="0"/>
            <w:vAlign w:val="center"/>
          </w:tcPr>
          <w:p w14:paraId="5E97B4BB">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职工人数</w:t>
            </w:r>
          </w:p>
        </w:tc>
        <w:tc>
          <w:tcPr>
            <w:tcW w:w="1426" w:type="pct"/>
            <w:tcBorders>
              <w:tl2br w:val="nil"/>
              <w:tr2bl w:val="nil"/>
            </w:tcBorders>
            <w:noWrap w:val="0"/>
            <w:vAlign w:val="center"/>
          </w:tcPr>
          <w:p w14:paraId="78DE924B">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20人</w:t>
            </w:r>
          </w:p>
        </w:tc>
      </w:tr>
      <w:tr w14:paraId="0165750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830" w:type="pct"/>
            <w:tcBorders>
              <w:tl2br w:val="nil"/>
              <w:tr2bl w:val="nil"/>
            </w:tcBorders>
            <w:noWrap w:val="0"/>
            <w:vAlign w:val="center"/>
          </w:tcPr>
          <w:p w14:paraId="6C9B4F15">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企业规模</w:t>
            </w:r>
          </w:p>
        </w:tc>
        <w:tc>
          <w:tcPr>
            <w:tcW w:w="1960" w:type="pct"/>
            <w:tcBorders>
              <w:tl2br w:val="nil"/>
              <w:tr2bl w:val="nil"/>
            </w:tcBorders>
            <w:noWrap w:val="0"/>
            <w:vAlign w:val="center"/>
          </w:tcPr>
          <w:p w14:paraId="233B6697">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年产1000t精制松香，1000t松香</w:t>
            </w:r>
          </w:p>
        </w:tc>
        <w:tc>
          <w:tcPr>
            <w:tcW w:w="782" w:type="pct"/>
            <w:tcBorders>
              <w:tl2br w:val="nil"/>
              <w:tr2bl w:val="nil"/>
            </w:tcBorders>
            <w:noWrap w:val="0"/>
            <w:vAlign w:val="center"/>
          </w:tcPr>
          <w:p w14:paraId="2E954496">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占地面积</w:t>
            </w:r>
          </w:p>
        </w:tc>
        <w:tc>
          <w:tcPr>
            <w:tcW w:w="1426" w:type="pct"/>
            <w:tcBorders>
              <w:tl2br w:val="nil"/>
              <w:tr2bl w:val="nil"/>
            </w:tcBorders>
            <w:noWrap w:val="0"/>
            <w:vAlign w:val="center"/>
          </w:tcPr>
          <w:p w14:paraId="125609D3">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17780.93m²</w:t>
            </w:r>
          </w:p>
        </w:tc>
      </w:tr>
      <w:tr w14:paraId="4C91D80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830" w:type="pct"/>
            <w:tcBorders>
              <w:tl2br w:val="nil"/>
              <w:tr2bl w:val="nil"/>
            </w:tcBorders>
            <w:noWrap w:val="0"/>
            <w:vAlign w:val="center"/>
          </w:tcPr>
          <w:p w14:paraId="3CF755D8">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主要原料</w:t>
            </w:r>
          </w:p>
        </w:tc>
        <w:tc>
          <w:tcPr>
            <w:tcW w:w="1960" w:type="pct"/>
            <w:tcBorders>
              <w:tl2br w:val="nil"/>
              <w:tr2bl w:val="nil"/>
            </w:tcBorders>
            <w:noWrap w:val="0"/>
            <w:vAlign w:val="center"/>
          </w:tcPr>
          <w:p w14:paraId="76299E15">
            <w:pPr>
              <w:pStyle w:val="47"/>
              <w:spacing w:line="240" w:lineRule="auto"/>
              <w:rPr>
                <w:rFonts w:hint="eastAsia" w:eastAsia="宋体" w:asciiTheme="minorEastAsia" w:hAnsi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落地松脂，松节油重油，</w:t>
            </w:r>
            <w:r>
              <w:rPr>
                <w:bCs/>
                <w:color w:val="000000" w:themeColor="text1"/>
                <w:szCs w:val="21"/>
                <w14:textFill>
                  <w14:solidFill>
                    <w14:schemeClr w14:val="tx1"/>
                  </w14:solidFill>
                </w14:textFill>
              </w:rPr>
              <w:t>镀锌桶装</w:t>
            </w:r>
            <w:r>
              <w:rPr>
                <w:rFonts w:hint="eastAsia"/>
                <w:bCs/>
                <w:color w:val="000000" w:themeColor="text1"/>
                <w:szCs w:val="21"/>
                <w:lang w:eastAsia="zh-CN"/>
                <w14:textFill>
                  <w14:solidFill>
                    <w14:schemeClr w14:val="tx1"/>
                  </w14:solidFill>
                </w14:textFill>
              </w:rPr>
              <w:t>，</w:t>
            </w:r>
            <w:r>
              <w:rPr>
                <w:bCs/>
                <w:color w:val="000000" w:themeColor="text1"/>
                <w:szCs w:val="21"/>
                <w14:textFill>
                  <w14:solidFill>
                    <w14:schemeClr w14:val="tx1"/>
                  </w14:solidFill>
                </w14:textFill>
              </w:rPr>
              <w:t>生物质燃料</w:t>
            </w:r>
            <w:r>
              <w:rPr>
                <w:rFonts w:hint="eastAsia"/>
                <w:bCs/>
                <w:color w:val="000000" w:themeColor="text1"/>
                <w:szCs w:val="21"/>
                <w:lang w:eastAsia="zh-CN"/>
                <w14:textFill>
                  <w14:solidFill>
                    <w14:schemeClr w14:val="tx1"/>
                  </w14:solidFill>
                </w14:textFill>
              </w:rPr>
              <w:t>（</w:t>
            </w:r>
            <w:r>
              <w:rPr>
                <w:rFonts w:hint="eastAsia"/>
                <w:bCs/>
                <w:color w:val="000000" w:themeColor="text1"/>
                <w:szCs w:val="21"/>
                <w:lang w:val="en-US" w:eastAsia="zh-CN"/>
                <w14:textFill>
                  <w14:solidFill>
                    <w14:schemeClr w14:val="tx1"/>
                  </w14:solidFill>
                </w14:textFill>
              </w:rPr>
              <w:t>落地松脂干残渣</w:t>
            </w:r>
            <w:r>
              <w:rPr>
                <w:rFonts w:hint="eastAsia"/>
                <w:bCs/>
                <w:color w:val="000000" w:themeColor="text1"/>
                <w:szCs w:val="21"/>
                <w:lang w:eastAsia="zh-CN"/>
                <w14:textFill>
                  <w14:solidFill>
                    <w14:schemeClr w14:val="tx1"/>
                  </w14:solidFill>
                </w14:textFill>
              </w:rPr>
              <w:t>）</w:t>
            </w:r>
          </w:p>
        </w:tc>
        <w:tc>
          <w:tcPr>
            <w:tcW w:w="782" w:type="pct"/>
            <w:tcBorders>
              <w:tl2br w:val="nil"/>
              <w:tr2bl w:val="nil"/>
            </w:tcBorders>
            <w:noWrap w:val="0"/>
            <w:vAlign w:val="center"/>
          </w:tcPr>
          <w:p w14:paraId="0E320187">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所属行业</w:t>
            </w:r>
          </w:p>
        </w:tc>
        <w:tc>
          <w:tcPr>
            <w:tcW w:w="1426" w:type="pct"/>
            <w:tcBorders>
              <w:tl2br w:val="nil"/>
              <w:tr2bl w:val="nil"/>
            </w:tcBorders>
            <w:noWrap w:val="0"/>
            <w:vAlign w:val="center"/>
          </w:tcPr>
          <w:p w14:paraId="6A4E4353">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C2663 林产化学产品制造</w:t>
            </w:r>
          </w:p>
        </w:tc>
      </w:tr>
      <w:tr w14:paraId="36AF10F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830" w:type="pct"/>
            <w:tcBorders>
              <w:tl2br w:val="nil"/>
              <w:tr2bl w:val="nil"/>
            </w:tcBorders>
            <w:noWrap w:val="0"/>
            <w:vAlign w:val="center"/>
          </w:tcPr>
          <w:p w14:paraId="6F797EC3">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主要产品</w:t>
            </w:r>
          </w:p>
        </w:tc>
        <w:tc>
          <w:tcPr>
            <w:tcW w:w="1960" w:type="pct"/>
            <w:tcBorders>
              <w:tl2br w:val="nil"/>
              <w:tr2bl w:val="nil"/>
            </w:tcBorders>
            <w:noWrap w:val="0"/>
            <w:vAlign w:val="center"/>
          </w:tcPr>
          <w:p w14:paraId="4F43BC75">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精制松香，松香</w:t>
            </w:r>
          </w:p>
        </w:tc>
        <w:tc>
          <w:tcPr>
            <w:tcW w:w="782" w:type="pct"/>
            <w:tcBorders>
              <w:tl2br w:val="nil"/>
              <w:tr2bl w:val="nil"/>
            </w:tcBorders>
            <w:noWrap w:val="0"/>
            <w:vAlign w:val="center"/>
          </w:tcPr>
          <w:p w14:paraId="716BCD6E">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经度坐标</w:t>
            </w:r>
          </w:p>
        </w:tc>
        <w:tc>
          <w:tcPr>
            <w:tcW w:w="1426" w:type="pct"/>
            <w:tcBorders>
              <w:tl2br w:val="nil"/>
              <w:tr2bl w:val="nil"/>
            </w:tcBorders>
            <w:noWrap w:val="0"/>
            <w:vAlign w:val="center"/>
          </w:tcPr>
          <w:p w14:paraId="25F47EAA">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东经103°16'41.102"</w:t>
            </w:r>
          </w:p>
        </w:tc>
      </w:tr>
      <w:tr w14:paraId="007EE3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9" w:hRule="atLeast"/>
          <w:jc w:val="center"/>
        </w:trPr>
        <w:tc>
          <w:tcPr>
            <w:tcW w:w="830" w:type="pct"/>
            <w:tcBorders>
              <w:tl2br w:val="nil"/>
              <w:tr2bl w:val="nil"/>
            </w:tcBorders>
            <w:noWrap w:val="0"/>
            <w:vAlign w:val="center"/>
          </w:tcPr>
          <w:p w14:paraId="09839010">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联系人</w:t>
            </w:r>
          </w:p>
        </w:tc>
        <w:tc>
          <w:tcPr>
            <w:tcW w:w="1960" w:type="pct"/>
            <w:tcBorders>
              <w:tl2br w:val="nil"/>
              <w:tr2bl w:val="nil"/>
            </w:tcBorders>
            <w:noWrap w:val="0"/>
            <w:vAlign w:val="center"/>
          </w:tcPr>
          <w:p w14:paraId="35B38510">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李啟进</w:t>
            </w:r>
          </w:p>
        </w:tc>
        <w:tc>
          <w:tcPr>
            <w:tcW w:w="782" w:type="pct"/>
            <w:tcBorders>
              <w:tl2br w:val="nil"/>
              <w:tr2bl w:val="nil"/>
            </w:tcBorders>
            <w:noWrap w:val="0"/>
            <w:vAlign w:val="center"/>
          </w:tcPr>
          <w:p w14:paraId="0B99AC30">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纬度坐标</w:t>
            </w:r>
          </w:p>
        </w:tc>
        <w:tc>
          <w:tcPr>
            <w:tcW w:w="1426" w:type="pct"/>
            <w:tcBorders>
              <w:tl2br w:val="nil"/>
              <w:tr2bl w:val="nil"/>
            </w:tcBorders>
            <w:noWrap w:val="0"/>
            <w:vAlign w:val="center"/>
          </w:tcPr>
          <w:p w14:paraId="72809AE2">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hint="eastAsia" w:asciiTheme="minorEastAsia" w:hAnsiTheme="minorEastAsia" w:eastAsiaTheme="minorEastAsia" w:cstheme="minorEastAsia"/>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北纬24</w:t>
            </w:r>
            <w:r>
              <w:rPr>
                <w:rFonts w:hint="eastAsia" w:asciiTheme="minorEastAsia" w:hAnsiTheme="minorEastAsia" w:eastAsiaTheme="minorEastAsia" w:cstheme="minorEastAsia"/>
                <w:color w:val="000000" w:themeColor="text1"/>
                <w:sz w:val="21"/>
                <w:szCs w:val="21"/>
                <w14:textFill>
                  <w14:solidFill>
                    <w14:schemeClr w14:val="tx1"/>
                  </w14:solidFill>
                </w14:textFill>
              </w:rPr>
              <w:t>°</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57'53.708"</w:t>
            </w:r>
          </w:p>
        </w:tc>
      </w:tr>
      <w:tr w14:paraId="1BA2633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830" w:type="pct"/>
            <w:tcBorders>
              <w:tl2br w:val="nil"/>
              <w:tr2bl w:val="nil"/>
            </w:tcBorders>
            <w:noWrap w:val="0"/>
            <w:vAlign w:val="center"/>
          </w:tcPr>
          <w:p w14:paraId="16F0BF51">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联系电话</w:t>
            </w:r>
          </w:p>
        </w:tc>
        <w:tc>
          <w:tcPr>
            <w:tcW w:w="1960" w:type="pct"/>
            <w:tcBorders>
              <w:tl2br w:val="nil"/>
              <w:tr2bl w:val="nil"/>
            </w:tcBorders>
            <w:noWrap w:val="0"/>
            <w:vAlign w:val="center"/>
          </w:tcPr>
          <w:p w14:paraId="2A07B54A">
            <w:pPr>
              <w:pStyle w:val="47"/>
              <w:spacing w:line="240" w:lineRule="auto"/>
              <w:rPr>
                <w:rFonts w:hint="default"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13708492075</w:t>
            </w:r>
          </w:p>
        </w:tc>
        <w:tc>
          <w:tcPr>
            <w:tcW w:w="782" w:type="pct"/>
            <w:tcBorders>
              <w:tl2br w:val="nil"/>
              <w:tr2bl w:val="nil"/>
            </w:tcBorders>
            <w:noWrap w:val="0"/>
            <w:vAlign w:val="center"/>
          </w:tcPr>
          <w:p w14:paraId="0607DAFB">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历史事件</w:t>
            </w:r>
          </w:p>
        </w:tc>
        <w:tc>
          <w:tcPr>
            <w:tcW w:w="1426" w:type="pct"/>
            <w:tcBorders>
              <w:tl2br w:val="nil"/>
              <w:tr2bl w:val="nil"/>
            </w:tcBorders>
            <w:noWrap w:val="0"/>
            <w:vAlign w:val="center"/>
          </w:tcPr>
          <w:p w14:paraId="710CC9AC">
            <w:pPr>
              <w:pStyle w:val="47"/>
              <w:spacing w:line="240" w:lineRule="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无</w:t>
            </w:r>
          </w:p>
        </w:tc>
      </w:tr>
    </w:tbl>
    <w:p w14:paraId="4353360F">
      <w:pPr>
        <w:pStyle w:val="10"/>
        <w:keepNext/>
        <w:keepLines/>
        <w:spacing w:before="140" w:beforeLines="0" w:after="140" w:afterLines="0" w:line="416" w:lineRule="auto"/>
        <w:ind w:firstLine="0" w:firstLineChars="0"/>
        <w:jc w:val="both"/>
        <w:rPr>
          <w:rFonts w:hint="eastAsia" w:ascii="宋体" w:hAnsi="宋体" w:eastAsia="宋体" w:cs="Times New Roman"/>
          <w:b/>
          <w:bCs/>
          <w:color w:val="000000" w:themeColor="text1"/>
          <w:sz w:val="28"/>
          <w:szCs w:val="28"/>
          <w:lang w:val="en-US" w:eastAsia="zh-CN"/>
          <w14:textFill>
            <w14:solidFill>
              <w14:schemeClr w14:val="tx1"/>
            </w14:solidFill>
          </w14:textFill>
        </w:rPr>
      </w:pPr>
      <w:bookmarkStart w:id="67" w:name="_Toc17820"/>
      <w:bookmarkStart w:id="68" w:name="_Toc12479"/>
      <w:bookmarkStart w:id="69" w:name="_Toc5552"/>
      <w:bookmarkStart w:id="70" w:name="_Toc23323"/>
      <w:bookmarkStart w:id="71" w:name="_Toc8505"/>
      <w:bookmarkStart w:id="72" w:name="_Toc3258"/>
      <w:bookmarkStart w:id="73" w:name="_Toc30621"/>
      <w:bookmarkStart w:id="74" w:name="_Toc9695"/>
      <w:r>
        <w:rPr>
          <w:rFonts w:hint="eastAsia" w:ascii="宋体" w:hAnsi="宋体" w:eastAsia="宋体" w:cs="Times New Roman"/>
          <w:b/>
          <w:bCs/>
          <w:color w:val="000000" w:themeColor="text1"/>
          <w:sz w:val="28"/>
          <w:szCs w:val="28"/>
          <w:lang w:val="en-US" w:eastAsia="zh-CN"/>
          <w14:textFill>
            <w14:solidFill>
              <w14:schemeClr w14:val="tx1"/>
            </w14:solidFill>
          </w14:textFill>
        </w:rPr>
        <w:t>3.1.2自然环境概况</w:t>
      </w:r>
      <w:bookmarkEnd w:id="67"/>
      <w:bookmarkEnd w:id="68"/>
      <w:bookmarkEnd w:id="69"/>
      <w:bookmarkEnd w:id="70"/>
      <w:bookmarkEnd w:id="71"/>
      <w:bookmarkEnd w:id="72"/>
      <w:bookmarkEnd w:id="73"/>
      <w:bookmarkEnd w:id="74"/>
    </w:p>
    <w:p w14:paraId="4A326C4C">
      <w:pPr>
        <w:pStyle w:val="16"/>
        <w:numPr>
          <w:ilvl w:val="0"/>
          <w:numId w:val="2"/>
        </w:numPr>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地理位置</w:t>
      </w:r>
    </w:p>
    <w:p w14:paraId="2B5BCA10">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安宁市位于</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"https://baike.so.com/doc/7791047-8065142.html"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滇中高原</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的东部边缘，总面积1321平方公里。安宁距昆明32公里，是</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"https://baike.so.com/doc/5032514-5258895.html"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昆明</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通往滇西8个地州，并经畹町直接与缅甸相连的交通重镇。市境东北与</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"https://baike.so.com/doc/5374801-5610857.html"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西山区</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相连，东南与</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"https://baike.so.com/doc/5368375-5604178.html"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晋宁县</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接壤，西与易门、</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"https://baike.so.com/doc/1091002-1154453.html"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禄丰县</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毗邻，由</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"https://baike.so.com/doc/5032514-5258895.html"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昆明市</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代管。平均海拔1800米，年平均气温14.7C。安宁地理优越、交通发达，</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"https://baike.so.com/doc/5438107-5676424.html"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320国道</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直通缅甸，昆安、</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"https://baike.so.com/doc/7596596-7870691.html"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安楚高速</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"https://baike.so.com/doc/4418960-4626419.html"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成昆铁路</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等穿境而过，安晋高速、昆广铁路复线已开工建设，柏油路直达各</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"https://baike.so.com/doc/350003-370758.html"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行政村</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w:t>
      </w:r>
    </w:p>
    <w:p w14:paraId="0AAA0EBB">
      <w:pPr>
        <w:pStyle w:val="16"/>
        <w:ind w:firstLine="48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禄裱镇地处安宁市西北部，位于东经103°16'41.102"、北纬24°57'53.708"，</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距市区27千米。面积113平</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方千米，人口1.18万人(2006年)。辖1个</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begin"/>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instrText xml:space="preserve"> HYPERLINK "https://baike.so.com/doc/5299531-5534245.html" \t "https://baike.so.com/doc/_blank" </w:instrTex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separate"/>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社区</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end"/>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、7个行政村:禄脿</w:t>
      </w: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begin"/>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instrText xml:space="preserve"> HYPERLINK "https://baike.so.com/doc/5766646-5979414.html" \t "https://baike.so.com/doc/_blank" </w:instrTex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separate"/>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海湾</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end"/>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、禄脿、安丰营、艾家营、庄科、北冲、密马龙。镇政府驻禄脿。</w:t>
      </w:r>
    </w:p>
    <w:p w14:paraId="5ACD91B4">
      <w:pPr>
        <w:pStyle w:val="16"/>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公司位于禄裱镇安丰营村，中心地理坐标为北纬24°57'53.708"，东经103°16'41.102"，</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公司所在地理位置见附图</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1</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p>
    <w:p w14:paraId="7D62ECEB">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）地形、地貌、</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地质</w:t>
      </w:r>
    </w:p>
    <w:p w14:paraId="65DA82DF">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安宁地形呈东南高、西北低，有八街、连然、禄脿3个山间盆地，其余为山区半山区。市内西南部黑风洞为安宁市最高点，海拔2617.7米，最低点在草铺镇王家滩村委会红河流域扒河出安宁境处鲁家山河谷、海拔1680米。</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安宁境</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内地势起伏不大，盆岭相间，受构造控制，基本为元古界及中生界地层广泛分布，古生界地层发育不全，新生界地层分布在河谷及谷地。</w:t>
      </w:r>
    </w:p>
    <w:p w14:paraId="4C497337">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主要地貌类型有:</w:t>
      </w:r>
    </w:p>
    <w:p w14:paraId="68459825">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begin"/>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instrText xml:space="preserve"> HYPERLINK "https://baike.so.com/doc/5852064-6064904.html" \t "https://baike.so.com/doc/_blank" </w:instrTex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separate"/>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螳螂川</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fldChar w:fldCharType="end"/>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侵蚀地貌:包括螳螂川、连然盆地和禄脿至青龙寺一带，地势平缓、略有起伏。</w:t>
      </w:r>
    </w:p>
    <w:p w14:paraId="18347C7F">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八街中山丘陵侵蚀谷盆地貌:本地貌区包括连然、县街、鸣矣河、青龙哨、安丰营及邵九一带，海拔在1900-2000米之间，坡度&lt;10°，地势平坦，是安宁主要工农业分布区域。</w:t>
      </w:r>
    </w:p>
    <w:p w14:paraId="5C0D282C">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构造地貌:主要分布在太平妥目一带，包括黑风洞、孝母山等，一般相对高差500-1000米，坡度35°以上。</w:t>
      </w:r>
    </w:p>
    <w:p w14:paraId="263D02E8">
      <w:pPr>
        <w:pStyle w:val="16"/>
        <w:ind w:firstLine="480"/>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中山浅切割"V"型谷盆地貌:主要分布在温泉、磨南德、马厂、九渡河及北冲等地，海拔1800-2200米。</w:t>
      </w:r>
    </w:p>
    <w:p w14:paraId="5DF2255D">
      <w:pPr>
        <w:pStyle w:val="16"/>
        <w:ind w:firstLine="480"/>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（3）气候、气象</w:t>
      </w:r>
    </w:p>
    <w:p w14:paraId="007C37F6">
      <w:pPr>
        <w:pStyle w:val="16"/>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安宁属中亚热带低纬度高海拔地区，季节温差不大，干湿度分明。年平均气温14.9℃，极端最高气温31.5℃，极端最低气温-7.8℃。年平均降水量约为1000.5毫米，月最大降雨量208.3毫米，日最大降雨量153.3毫米，降雨主要集中在5~9月。年日照时2327.5小时，年蒸发量1856.4毫米。最大风速40m/s，多西南风。</w:t>
      </w:r>
    </w:p>
    <w:p w14:paraId="4CAD3B8A">
      <w:pPr>
        <w:pStyle w:val="16"/>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4</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）水文情况</w:t>
      </w:r>
    </w:p>
    <w:p w14:paraId="6B193DB2">
      <w:pPr>
        <w:pStyle w:val="16"/>
        <w:ind w:firstLine="480"/>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安</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宁境内河流分属两大水系，即金沙江水系和红河水系。金沙江水系的流域总面积为1206平方公里，红河水系流域面积为115平方公里。</w:t>
      </w:r>
    </w:p>
    <w:p w14:paraId="66B5B388">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①</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长江流域金沙江水系主要河流</w:t>
      </w:r>
    </w:p>
    <w:p w14:paraId="1133F0F7">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螳螂川:螳螂川发源于一六乡西南龙潭山麓的大龙洞。流经一六乡、八街镇、鸣矣河乡、县街乡、连然镇、安宁市城区、温泉镇、青龙镇，由青龙镇的马鹿塘附近出境，全流域面积为4410.5平方千米，其中安宁市境内流程为52.8千米，流域面积1206平方千米，年径流量78057.9万立方米。安宁境内除红河流域的九渡河外，所有属长江流域的河流水量都最后汇入螳螂川。</w:t>
      </w:r>
    </w:p>
    <w:p w14:paraId="02888AB9">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鸣矣河(又称八街河):发源于晋宁县白龙山(一支发源于一六街乡大龙洞)，由南向北流经一六街、八街、鸣矣河、县街等四个乡镇。在鸣矣河乡的双村有螃海河汇入，在县街乡的大元末有县街河汇入，最后流经连然镇通仙桥汇入螳螂川。全流域面积908平方千米，其中安宁境内流程71千米，径流面积588平方千米，多年平均径流量8900万立方米。</w:t>
      </w:r>
    </w:p>
    <w:p w14:paraId="42C2B4BA">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双河:发源于晋宁县，流入车木河水库后汇入鸣矣河，全流域面积159平方千米，其中安宁境内流域面积108.9平方千米，多年平均产水量2814万立方米。</w:t>
      </w:r>
    </w:p>
    <w:p w14:paraId="3CF5F01E">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马料河:发源于西山区青山丫口，与其它两支流汇合后在连然镇大黄塘附近汇入螳螂川。总流域面积103平方千米，安宁市境内流域面积84平方千米，流程13.65千米，多年平均径流1670万立方米。</w:t>
      </w:r>
    </w:p>
    <w:p w14:paraId="6B2A2ACD">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县街河:发源于老羊箐，流经小箐口、月字庄水库，在大元末汇入鸣矣河，流程71千米，流域面积88.85平方千米，多年平均径流量1572.6万立方米。</w:t>
      </w:r>
    </w:p>
    <w:p w14:paraId="77CBC070">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沙河:发源于西山区棋盘山，流经西山区团结乡进入明朗水库，后经太平镇、连然镇罗白村汇入螳螂川，流域面积97平方千米，其中安宁境内流域面积42.9平方千米，流程14.4千米，多年平均径流量1580万立方米。是滇池西园隧道的排水口。</w:t>
      </w:r>
    </w:p>
    <w:p w14:paraId="4E4D7978">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九龙河:发源于草铺镇权甫水库，流经青龙哨至青龙镇小河口汇入螳螂川，流域面积51.65平方千米，流程12.2千米，多年平均径流770万立方米。</w:t>
      </w:r>
    </w:p>
    <w:p w14:paraId="3787168B">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禄脿河:发源于禄脿镇北冲的黑泥凹，由北向南流经禄丰县老丫关水库后，在经土官村转北流入禄脿镇，最后由青龙镇的和尚庄汇入螳螂川。总流域面积205平方千米，多年平均径流量3810万立方米。</w:t>
      </w:r>
    </w:p>
    <w:p w14:paraId="1B4AD1F0">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螃蟹河:发源于晋宁县，流入安宁后经鸣矣河乡双村与八街河汇合，流入螳螂川，流域面积112.71平方千米，多年平均径流量2085万立方米。</w:t>
      </w:r>
    </w:p>
    <w:p w14:paraId="764AF93E">
      <w:pPr>
        <w:pStyle w:val="16"/>
        <w:ind w:firstLine="480"/>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②</w:t>
      </w: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红河流域元江水系</w:t>
      </w:r>
    </w:p>
    <w:p w14:paraId="4AA858BB">
      <w:pPr>
        <w:pStyle w:val="16"/>
        <w:ind w:firstLine="480"/>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九渡河:属红河流域，为元江支流扒河的源头之一，发源于易门县哨岗屯大坡，流经九渡村，纳老鹰山水至王家滩纳龙箐水，至河底纳芦柴箐水，在进易门后汇入扒河。流域面积115平方千米，流程21.3千米，平均年径流量2200万立方米。</w:t>
      </w:r>
    </w:p>
    <w:p w14:paraId="59FF10A6">
      <w:pPr>
        <w:numPr>
          <w:ilvl w:val="0"/>
          <w:numId w:val="0"/>
        </w:numPr>
        <w:ind w:left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（5）植被及生物多样性</w:t>
      </w:r>
    </w:p>
    <w:p w14:paraId="56B926EF">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安宁市属高原红土壤区，土壤构成与昆明市域整体相同，经济林木、农作物品种、植物资源和昆明市域多数地区类似。森林以云南松、滇翠柏、油松、华山松及针叶树为主，花卉品种繁多。其中，滇翠柏为安宁市市树，</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begin"/>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instrText xml:space="preserve"> HYPERLINK "https://baike.so.com/doc/5348920-5584374.html" \t "https://baike.so.com/doc/_blank" </w:instrTex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separate"/>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梅花</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fldChar w:fldCharType="end"/>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为安宁市市花。</w:t>
      </w:r>
    </w:p>
    <w:p w14:paraId="5BBBF3A4">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根据现场踏勘，本公司区域无大面积天然植被覆盖，公司周围植被主要为道路绿化树木。</w:t>
      </w:r>
    </w:p>
    <w:p w14:paraId="563D5ACC">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（6）自然资源</w:t>
      </w:r>
    </w:p>
    <w:p w14:paraId="35D50B60">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安宁市自然资源丰富。矿产资源主要有磷、盐、铁、钛、锡、铜、锌、铝、硅、铝土矿、石英砂、石灰石、白云石及花岗岩等诸多矿藏。境内盐矿储量居全国内陆型盐矿第二，平均品位58.8%，仅次于青海;钙芒硝储量76亿吨，平均品位约23.3%，居全国储量前列;磷矿储量9.2亿吨，铁矿储量5200亿吨。</w:t>
      </w:r>
    </w:p>
    <w:p w14:paraId="55AA2D36">
      <w:pPr>
        <w:pStyle w:val="10"/>
        <w:keepNext/>
        <w:keepLines/>
        <w:spacing w:before="140" w:beforeLines="0" w:after="140" w:afterLines="0" w:line="416" w:lineRule="auto"/>
        <w:ind w:firstLine="0" w:firstLineChars="0"/>
        <w:jc w:val="both"/>
        <w:rPr>
          <w:rFonts w:hint="eastAsia" w:ascii="宋体" w:hAnsi="宋体" w:eastAsia="宋体" w:cs="Times New Roman"/>
          <w:b/>
          <w:bCs/>
          <w:color w:val="000000" w:themeColor="text1"/>
          <w:sz w:val="28"/>
          <w:szCs w:val="28"/>
          <w:lang w:val="en-US" w:eastAsia="zh-CN"/>
          <w14:textFill>
            <w14:solidFill>
              <w14:schemeClr w14:val="tx1"/>
            </w14:solidFill>
          </w14:textFill>
        </w:rPr>
      </w:pPr>
      <w:bookmarkStart w:id="75" w:name="_Toc6174"/>
      <w:bookmarkStart w:id="76" w:name="_Toc30830"/>
      <w:bookmarkStart w:id="77" w:name="_Toc16626"/>
      <w:r>
        <w:rPr>
          <w:rFonts w:hint="eastAsia" w:ascii="宋体" w:hAnsi="宋体" w:eastAsia="宋体" w:cs="Times New Roman"/>
          <w:b/>
          <w:bCs/>
          <w:color w:val="000000" w:themeColor="text1"/>
          <w:sz w:val="28"/>
          <w:szCs w:val="28"/>
          <w:lang w:val="en-US" w:eastAsia="zh-CN"/>
          <w14:textFill>
            <w14:solidFill>
              <w14:schemeClr w14:val="tx1"/>
            </w14:solidFill>
          </w14:textFill>
        </w:rPr>
        <w:t>3.1.3环境功能区划与现状</w:t>
      </w:r>
      <w:bookmarkEnd w:id="75"/>
      <w:bookmarkEnd w:id="76"/>
      <w:bookmarkEnd w:id="77"/>
    </w:p>
    <w:p w14:paraId="0927060A">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bookmarkStart w:id="78" w:name="_Toc8376"/>
      <w:bookmarkStart w:id="79" w:name="_Toc5891"/>
      <w:bookmarkStart w:id="80" w:name="_Toc15603"/>
      <w:bookmarkStart w:id="81" w:name="_Toc32276"/>
      <w:bookmarkStart w:id="82" w:name="_Toc10665"/>
      <w:bookmarkStart w:id="83" w:name="_Toc13961"/>
      <w:bookmarkStart w:id="84" w:name="_Toc26588"/>
      <w:bookmarkStart w:id="85" w:name="_Toc487425426"/>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1、大气环境</w:t>
      </w:r>
    </w:p>
    <w:p w14:paraId="696450D6">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本项目环境空气保护目标为厂界外500m范围内的居住区，按《环境空气质量标准》（GB3095-2012）</w:t>
      </w:r>
      <w:r>
        <w:rPr>
          <w:rFonts w:hint="default" w:asciiTheme="minorEastAsia" w:hAnsiTheme="minorEastAsia" w:eastAsiaTheme="minorEastAsia" w:cstheme="minorEastAsia"/>
          <w:color w:val="000000" w:themeColor="text1"/>
          <w:kern w:val="2"/>
          <w:sz w:val="24"/>
          <w:szCs w:val="24"/>
          <w:highlight w:val="none"/>
          <w:lang w:val="zh-CN" w:eastAsia="zh-CN" w:bidi="ar-SA"/>
          <w14:textFill>
            <w14:solidFill>
              <w14:schemeClr w14:val="tx1"/>
            </w14:solidFill>
          </w14:textFill>
        </w:rPr>
        <w:t>二级标准</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保护。</w:t>
      </w:r>
    </w:p>
    <w:p w14:paraId="32A63639">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2、声环境</w:t>
      </w:r>
    </w:p>
    <w:p w14:paraId="570E6B66">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根据现场踏勘，声环境保护目标为厂界外50m范围内的噪声敏感区，具体保护目标详见</w:t>
      </w: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表3-2</w:t>
      </w:r>
      <w:r>
        <w:rPr>
          <w:rFonts w:hint="default" w:asciiTheme="minorEastAsia" w:hAnsiTheme="minorEastAsia" w:eastAsiaTheme="minorEastAsia" w:cstheme="minorEastAsia"/>
          <w:color w:val="000000" w:themeColor="text1"/>
          <w:kern w:val="2"/>
          <w:sz w:val="24"/>
          <w:szCs w:val="24"/>
          <w:highlight w:val="none"/>
          <w:lang w:val="zh-CN" w:eastAsia="zh-CN" w:bidi="ar-SA"/>
          <w14:textFill>
            <w14:solidFill>
              <w14:schemeClr w14:val="tx1"/>
            </w14:solidFill>
          </w14:textFill>
        </w:rPr>
        <w:t>。</w:t>
      </w:r>
    </w:p>
    <w:p w14:paraId="529ECCD3">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3、地下水</w:t>
      </w:r>
    </w:p>
    <w:p w14:paraId="1A84E630">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根据现场踏勘，项目厂界外500m范围内无地下水集中式饮用水水源和热水、矿泉水、温泉等特殊地下水资源。</w:t>
      </w:r>
    </w:p>
    <w:p w14:paraId="3ACD2046">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4、生态环境</w:t>
      </w:r>
    </w:p>
    <w:p w14:paraId="489E1121">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default" w:asciiTheme="minorEastAsia" w:hAnsiTheme="minorEastAsia" w:eastAsiaTheme="minorEastAsia" w:cstheme="minorEastAsia"/>
          <w:color w:val="000000" w:themeColor="text1"/>
          <w:kern w:val="2"/>
          <w:sz w:val="24"/>
          <w:szCs w:val="24"/>
          <w:highlight w:val="none"/>
          <w:lang w:val="zh-CN" w:eastAsia="zh-CN" w:bidi="ar-SA"/>
          <w14:textFill>
            <w14:solidFill>
              <w14:schemeClr w14:val="tx1"/>
            </w14:solidFill>
          </w14:textFill>
        </w:rPr>
        <w:t>本项目位于</w:t>
      </w:r>
      <w:r>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安宁市禄脿街道办事处安丰营村，属于规划的工业园区，不涉及园区外用地，不涉及生态保护目标。</w:t>
      </w:r>
    </w:p>
    <w:p w14:paraId="1A07EF44">
      <w:pPr>
        <w:pStyle w:val="9"/>
        <w:keepNext/>
        <w:keepLines/>
        <w:spacing w:before="260" w:beforeLines="0" w:after="260" w:afterLines="0" w:line="416" w:lineRule="auto"/>
        <w:ind w:firstLine="0" w:firstLineChars="0"/>
        <w:rPr>
          <w:rFonts w:hint="eastAsia" w:ascii="Arial" w:hAnsi="Arial" w:eastAsia="宋体" w:cs="Times New Roman"/>
          <w:b/>
          <w:bCs/>
          <w:color w:val="000000" w:themeColor="text1"/>
          <w:kern w:val="2"/>
          <w:sz w:val="28"/>
          <w:szCs w:val="28"/>
          <w:lang w:eastAsia="zh-CN"/>
          <w14:textFill>
            <w14:solidFill>
              <w14:schemeClr w14:val="tx1"/>
            </w14:solidFill>
          </w14:textFill>
        </w:rPr>
      </w:pPr>
      <w:bookmarkStart w:id="86" w:name="_Toc18667"/>
      <w:r>
        <w:rPr>
          <w:rFonts w:hint="eastAsia" w:ascii="Arial" w:hAnsi="Arial" w:eastAsia="宋体" w:cs="Times New Roman"/>
          <w:b/>
          <w:bCs/>
          <w:color w:val="000000" w:themeColor="text1"/>
          <w:kern w:val="2"/>
          <w:sz w:val="28"/>
          <w:szCs w:val="28"/>
          <w:lang w:eastAsia="zh-CN"/>
          <w14:textFill>
            <w14:solidFill>
              <w14:schemeClr w14:val="tx1"/>
            </w14:solidFill>
          </w14:textFill>
        </w:rPr>
        <w:t>3.2企业周边环境风险受体情况</w:t>
      </w:r>
      <w:bookmarkEnd w:id="78"/>
      <w:bookmarkEnd w:id="79"/>
      <w:bookmarkEnd w:id="80"/>
      <w:bookmarkEnd w:id="81"/>
      <w:bookmarkEnd w:id="82"/>
      <w:bookmarkEnd w:id="83"/>
      <w:bookmarkEnd w:id="84"/>
      <w:bookmarkEnd w:id="85"/>
      <w:bookmarkEnd w:id="86"/>
    </w:p>
    <w:p w14:paraId="05E9E06B">
      <w:pPr>
        <w:keepNext w:val="0"/>
        <w:keepLines w:val="0"/>
        <w:pageBreakBefore w:val="0"/>
        <w:widowControl w:val="0"/>
        <w:kinsoku/>
        <w:wordWrap/>
        <w:overflowPunct/>
        <w:topLinePunct w:val="0"/>
        <w:autoSpaceDE/>
        <w:autoSpaceDN/>
        <w:bidi w:val="0"/>
        <w:adjustRightInd/>
        <w:snapToGrid/>
        <w:spacing w:line="480" w:lineRule="exact"/>
        <w:ind w:firstLine="480" w:firstLineChars="200"/>
        <w:jc w:val="left"/>
        <w:textAlignment w:val="auto"/>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公司周边主要环境分布如表3-2所示：</w:t>
      </w:r>
    </w:p>
    <w:p w14:paraId="64D002AA">
      <w:pPr>
        <w:pStyle w:val="2"/>
        <w:jc w:val="center"/>
        <w:outlineLvl w:val="9"/>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t>表3-2  周边主要环境风险受体分布情况表</w:t>
      </w:r>
    </w:p>
    <w:tbl>
      <w:tblPr>
        <w:tblStyle w:val="23"/>
        <w:tblW w:w="90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31"/>
        <w:gridCol w:w="1577"/>
        <w:gridCol w:w="1129"/>
        <w:gridCol w:w="1241"/>
        <w:gridCol w:w="1505"/>
        <w:gridCol w:w="2388"/>
      </w:tblGrid>
      <w:tr w14:paraId="301DC31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82" w:hRule="atLeast"/>
          <w:jc w:val="center"/>
        </w:trPr>
        <w:tc>
          <w:tcPr>
            <w:tcW w:w="1310" w:type="dxa"/>
            <w:tcBorders>
              <w:tl2br w:val="nil"/>
              <w:tr2bl w:val="nil"/>
            </w:tcBorders>
            <w:vAlign w:val="center"/>
          </w:tcPr>
          <w:p w14:paraId="722EC4AE">
            <w:pPr>
              <w:widowControl w:val="0"/>
              <w:wordWrap/>
              <w:adjustRightInd/>
              <w:snapToGrid/>
              <w:spacing w:line="240" w:lineRule="auto"/>
              <w:ind w:left="0" w:leftChars="0"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保护因子</w:t>
            </w:r>
          </w:p>
        </w:tc>
        <w:tc>
          <w:tcPr>
            <w:tcW w:w="1683" w:type="dxa"/>
            <w:tcBorders>
              <w:tl2br w:val="nil"/>
              <w:tr2bl w:val="nil"/>
            </w:tcBorders>
            <w:vAlign w:val="center"/>
          </w:tcPr>
          <w:p w14:paraId="28ABB329">
            <w:pPr>
              <w:widowControl w:val="0"/>
              <w:wordWrap/>
              <w:adjustRightInd/>
              <w:snapToGrid/>
              <w:spacing w:line="240" w:lineRule="auto"/>
              <w:ind w:left="0" w:leftChars="0"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关心点</w:t>
            </w:r>
          </w:p>
        </w:tc>
        <w:tc>
          <w:tcPr>
            <w:tcW w:w="1200" w:type="dxa"/>
            <w:tcBorders>
              <w:tl2br w:val="nil"/>
              <w:tr2bl w:val="nil"/>
            </w:tcBorders>
            <w:vAlign w:val="center"/>
          </w:tcPr>
          <w:p w14:paraId="247EBA89">
            <w:pPr>
              <w:widowControl w:val="0"/>
              <w:wordWrap/>
              <w:adjustRightInd/>
              <w:snapToGrid/>
              <w:spacing w:line="240" w:lineRule="auto"/>
              <w:ind w:left="0" w:leftChars="0"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方位</w:t>
            </w:r>
          </w:p>
        </w:tc>
        <w:tc>
          <w:tcPr>
            <w:tcW w:w="1320" w:type="dxa"/>
            <w:tcBorders>
              <w:tl2br w:val="nil"/>
              <w:tr2bl w:val="nil"/>
            </w:tcBorders>
            <w:vAlign w:val="center"/>
          </w:tcPr>
          <w:p w14:paraId="23B23569">
            <w:pPr>
              <w:widowControl w:val="0"/>
              <w:wordWrap/>
              <w:adjustRightInd/>
              <w:snapToGrid/>
              <w:spacing w:line="240" w:lineRule="auto"/>
              <w:ind w:left="0" w:leftChars="0"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距离</w:t>
            </w:r>
          </w:p>
        </w:tc>
        <w:tc>
          <w:tcPr>
            <w:tcW w:w="1605" w:type="dxa"/>
            <w:tcBorders>
              <w:tl2br w:val="nil"/>
              <w:tr2bl w:val="nil"/>
            </w:tcBorders>
            <w:vAlign w:val="center"/>
          </w:tcPr>
          <w:p w14:paraId="600630BF">
            <w:pPr>
              <w:widowControl w:val="0"/>
              <w:wordWrap/>
              <w:adjustRightInd/>
              <w:snapToGrid/>
              <w:spacing w:line="240" w:lineRule="auto"/>
              <w:ind w:left="0" w:leftChars="0"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人口</w:t>
            </w:r>
          </w:p>
        </w:tc>
        <w:tc>
          <w:tcPr>
            <w:tcW w:w="2557" w:type="dxa"/>
            <w:tcBorders>
              <w:tl2br w:val="nil"/>
              <w:tr2bl w:val="nil"/>
            </w:tcBorders>
            <w:vAlign w:val="center"/>
          </w:tcPr>
          <w:p w14:paraId="66215B23">
            <w:pPr>
              <w:widowControl w:val="0"/>
              <w:wordWrap/>
              <w:adjustRightInd/>
              <w:snapToGrid/>
              <w:spacing w:line="240" w:lineRule="auto"/>
              <w:ind w:left="0" w:leftChars="0" w:right="0" w:firstLine="42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保护级别</w:t>
            </w:r>
          </w:p>
        </w:tc>
      </w:tr>
      <w:tr w14:paraId="17BC72C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restart"/>
            <w:tcBorders>
              <w:tl2br w:val="nil"/>
              <w:tr2bl w:val="nil"/>
            </w:tcBorders>
            <w:vAlign w:val="center"/>
          </w:tcPr>
          <w:p w14:paraId="7A0AB2E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大气环境</w:t>
            </w:r>
          </w:p>
        </w:tc>
        <w:tc>
          <w:tcPr>
            <w:tcW w:w="1683" w:type="dxa"/>
            <w:tcBorders>
              <w:tl2br w:val="nil"/>
              <w:tr2bl w:val="nil"/>
            </w:tcBorders>
            <w:vAlign w:val="center"/>
          </w:tcPr>
          <w:p w14:paraId="21FD37C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禄脿镇集镇</w:t>
            </w:r>
          </w:p>
        </w:tc>
        <w:tc>
          <w:tcPr>
            <w:tcW w:w="1200" w:type="dxa"/>
            <w:tcBorders>
              <w:tl2br w:val="nil"/>
              <w:tr2bl w:val="nil"/>
            </w:tcBorders>
            <w:vAlign w:val="center"/>
          </w:tcPr>
          <w:p w14:paraId="21A0A895">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西面</w:t>
            </w:r>
          </w:p>
        </w:tc>
        <w:tc>
          <w:tcPr>
            <w:tcW w:w="1320" w:type="dxa"/>
            <w:tcBorders>
              <w:tl2br w:val="nil"/>
              <w:tr2bl w:val="nil"/>
            </w:tcBorders>
            <w:vAlign w:val="center"/>
          </w:tcPr>
          <w:p w14:paraId="1441F23C">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100m</w:t>
            </w:r>
          </w:p>
        </w:tc>
        <w:tc>
          <w:tcPr>
            <w:tcW w:w="1605" w:type="dxa"/>
            <w:tcBorders>
              <w:tl2br w:val="nil"/>
              <w:tr2bl w:val="nil"/>
            </w:tcBorders>
            <w:vAlign w:val="center"/>
          </w:tcPr>
          <w:p w14:paraId="36D751A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1500人</w:t>
            </w:r>
          </w:p>
        </w:tc>
        <w:tc>
          <w:tcPr>
            <w:tcW w:w="2557" w:type="dxa"/>
            <w:vMerge w:val="restart"/>
            <w:tcBorders>
              <w:tl2br w:val="nil"/>
              <w:tr2bl w:val="nil"/>
            </w:tcBorders>
            <w:vAlign w:val="center"/>
          </w:tcPr>
          <w:p w14:paraId="2ED82246">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GB3095-2012《环境空气质量标准》二级标准；</w:t>
            </w:r>
          </w:p>
          <w:p w14:paraId="3C519BFF">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 xml:space="preserve"> </w:t>
            </w:r>
          </w:p>
        </w:tc>
      </w:tr>
      <w:tr w14:paraId="07F610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618E7CB8">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2C40509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邑头村</w:t>
            </w:r>
          </w:p>
        </w:tc>
        <w:tc>
          <w:tcPr>
            <w:tcW w:w="1200" w:type="dxa"/>
            <w:tcBorders>
              <w:tl2br w:val="nil"/>
              <w:tr2bl w:val="nil"/>
            </w:tcBorders>
            <w:vAlign w:val="center"/>
          </w:tcPr>
          <w:p w14:paraId="770FC5B7">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西面</w:t>
            </w:r>
          </w:p>
        </w:tc>
        <w:tc>
          <w:tcPr>
            <w:tcW w:w="1320" w:type="dxa"/>
            <w:tcBorders>
              <w:tl2br w:val="nil"/>
              <w:tr2bl w:val="nil"/>
            </w:tcBorders>
            <w:vAlign w:val="center"/>
          </w:tcPr>
          <w:p w14:paraId="2E45804A">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1380m</w:t>
            </w:r>
          </w:p>
        </w:tc>
        <w:tc>
          <w:tcPr>
            <w:tcW w:w="1605" w:type="dxa"/>
            <w:tcBorders>
              <w:tl2br w:val="nil"/>
              <w:tr2bl w:val="nil"/>
            </w:tcBorders>
            <w:vAlign w:val="center"/>
          </w:tcPr>
          <w:p w14:paraId="06C0C6A8">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200人</w:t>
            </w:r>
          </w:p>
        </w:tc>
        <w:tc>
          <w:tcPr>
            <w:tcW w:w="2557" w:type="dxa"/>
            <w:vMerge w:val="continue"/>
            <w:tcBorders>
              <w:tl2br w:val="nil"/>
              <w:tr2bl w:val="nil"/>
            </w:tcBorders>
            <w:vAlign w:val="center"/>
          </w:tcPr>
          <w:p w14:paraId="03B7FE33">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01184D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0EC5167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16B9EA5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禄脿村</w:t>
            </w:r>
          </w:p>
        </w:tc>
        <w:tc>
          <w:tcPr>
            <w:tcW w:w="1200" w:type="dxa"/>
            <w:tcBorders>
              <w:tl2br w:val="nil"/>
              <w:tr2bl w:val="nil"/>
            </w:tcBorders>
            <w:vAlign w:val="center"/>
          </w:tcPr>
          <w:p w14:paraId="11CF8BC8">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西北面</w:t>
            </w:r>
          </w:p>
        </w:tc>
        <w:tc>
          <w:tcPr>
            <w:tcW w:w="1320" w:type="dxa"/>
            <w:tcBorders>
              <w:tl2br w:val="nil"/>
              <w:tr2bl w:val="nil"/>
            </w:tcBorders>
            <w:vAlign w:val="center"/>
          </w:tcPr>
          <w:p w14:paraId="45AD3C8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1620m</w:t>
            </w:r>
          </w:p>
        </w:tc>
        <w:tc>
          <w:tcPr>
            <w:tcW w:w="1605" w:type="dxa"/>
            <w:tcBorders>
              <w:tl2br w:val="nil"/>
              <w:tr2bl w:val="nil"/>
            </w:tcBorders>
            <w:vAlign w:val="center"/>
          </w:tcPr>
          <w:p w14:paraId="4BA65F5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750人</w:t>
            </w:r>
          </w:p>
        </w:tc>
        <w:tc>
          <w:tcPr>
            <w:tcW w:w="2557" w:type="dxa"/>
            <w:vMerge w:val="continue"/>
            <w:tcBorders>
              <w:tl2br w:val="nil"/>
              <w:tr2bl w:val="nil"/>
            </w:tcBorders>
            <w:vAlign w:val="center"/>
          </w:tcPr>
          <w:p w14:paraId="42552886">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5A5275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44F5D45D">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492A443E">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下禄脿大村</w:t>
            </w:r>
          </w:p>
        </w:tc>
        <w:tc>
          <w:tcPr>
            <w:tcW w:w="1200" w:type="dxa"/>
            <w:tcBorders>
              <w:tl2br w:val="nil"/>
              <w:tr2bl w:val="nil"/>
            </w:tcBorders>
            <w:vAlign w:val="center"/>
          </w:tcPr>
          <w:p w14:paraId="530693F7">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东北面</w:t>
            </w:r>
          </w:p>
        </w:tc>
        <w:tc>
          <w:tcPr>
            <w:tcW w:w="1320" w:type="dxa"/>
            <w:tcBorders>
              <w:tl2br w:val="nil"/>
              <w:tr2bl w:val="nil"/>
            </w:tcBorders>
            <w:vAlign w:val="center"/>
          </w:tcPr>
          <w:p w14:paraId="609E25A8">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1400m</w:t>
            </w:r>
          </w:p>
        </w:tc>
        <w:tc>
          <w:tcPr>
            <w:tcW w:w="1605" w:type="dxa"/>
            <w:tcBorders>
              <w:tl2br w:val="nil"/>
              <w:tr2bl w:val="nil"/>
            </w:tcBorders>
            <w:vAlign w:val="center"/>
          </w:tcPr>
          <w:p w14:paraId="3564DB57">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150人</w:t>
            </w:r>
          </w:p>
        </w:tc>
        <w:tc>
          <w:tcPr>
            <w:tcW w:w="2557" w:type="dxa"/>
            <w:vMerge w:val="continue"/>
            <w:tcBorders>
              <w:tl2br w:val="nil"/>
              <w:tr2bl w:val="nil"/>
            </w:tcBorders>
            <w:vAlign w:val="center"/>
          </w:tcPr>
          <w:p w14:paraId="73C068A1">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20449CE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4E19CBAE">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2363B9C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下禄脿小村</w:t>
            </w:r>
          </w:p>
        </w:tc>
        <w:tc>
          <w:tcPr>
            <w:tcW w:w="1200" w:type="dxa"/>
            <w:tcBorders>
              <w:tl2br w:val="nil"/>
              <w:tr2bl w:val="nil"/>
            </w:tcBorders>
            <w:vAlign w:val="center"/>
          </w:tcPr>
          <w:p w14:paraId="2D0533A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东北面</w:t>
            </w:r>
          </w:p>
        </w:tc>
        <w:tc>
          <w:tcPr>
            <w:tcW w:w="1320" w:type="dxa"/>
            <w:tcBorders>
              <w:tl2br w:val="nil"/>
              <w:tr2bl w:val="nil"/>
            </w:tcBorders>
            <w:vAlign w:val="center"/>
          </w:tcPr>
          <w:p w14:paraId="372C6C7A">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1500m</w:t>
            </w:r>
          </w:p>
        </w:tc>
        <w:tc>
          <w:tcPr>
            <w:tcW w:w="1605" w:type="dxa"/>
            <w:tcBorders>
              <w:tl2br w:val="nil"/>
              <w:tr2bl w:val="nil"/>
            </w:tcBorders>
            <w:vAlign w:val="center"/>
          </w:tcPr>
          <w:p w14:paraId="77E1F8E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50人</w:t>
            </w:r>
          </w:p>
        </w:tc>
        <w:tc>
          <w:tcPr>
            <w:tcW w:w="2557" w:type="dxa"/>
            <w:vMerge w:val="continue"/>
            <w:tcBorders>
              <w:tl2br w:val="nil"/>
              <w:tr2bl w:val="nil"/>
            </w:tcBorders>
            <w:vAlign w:val="center"/>
          </w:tcPr>
          <w:p w14:paraId="33C72CE2">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4B0F14B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76DA3B6B">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13B6759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云丰村</w:t>
            </w:r>
          </w:p>
        </w:tc>
        <w:tc>
          <w:tcPr>
            <w:tcW w:w="1200" w:type="dxa"/>
            <w:tcBorders>
              <w:tl2br w:val="nil"/>
              <w:tr2bl w:val="nil"/>
            </w:tcBorders>
            <w:vAlign w:val="center"/>
          </w:tcPr>
          <w:p w14:paraId="3A3817B2">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东面</w:t>
            </w:r>
          </w:p>
        </w:tc>
        <w:tc>
          <w:tcPr>
            <w:tcW w:w="1320" w:type="dxa"/>
            <w:tcBorders>
              <w:tl2br w:val="nil"/>
              <w:tr2bl w:val="nil"/>
            </w:tcBorders>
            <w:vAlign w:val="center"/>
          </w:tcPr>
          <w:p w14:paraId="16573EE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1000m</w:t>
            </w:r>
          </w:p>
        </w:tc>
        <w:tc>
          <w:tcPr>
            <w:tcW w:w="1605" w:type="dxa"/>
            <w:tcBorders>
              <w:tl2br w:val="nil"/>
              <w:tr2bl w:val="nil"/>
            </w:tcBorders>
            <w:vAlign w:val="center"/>
          </w:tcPr>
          <w:p w14:paraId="0AA52E5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100人</w:t>
            </w:r>
          </w:p>
        </w:tc>
        <w:tc>
          <w:tcPr>
            <w:tcW w:w="2557" w:type="dxa"/>
            <w:vMerge w:val="continue"/>
            <w:tcBorders>
              <w:tl2br w:val="nil"/>
              <w:tr2bl w:val="nil"/>
            </w:tcBorders>
            <w:vAlign w:val="center"/>
          </w:tcPr>
          <w:p w14:paraId="46D055B2">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596F4CC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5734D07F">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7D0829C5">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安丰营村</w:t>
            </w:r>
          </w:p>
        </w:tc>
        <w:tc>
          <w:tcPr>
            <w:tcW w:w="1200" w:type="dxa"/>
            <w:tcBorders>
              <w:tl2br w:val="nil"/>
              <w:tr2bl w:val="nil"/>
            </w:tcBorders>
            <w:vAlign w:val="center"/>
          </w:tcPr>
          <w:p w14:paraId="191E16C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北面</w:t>
            </w:r>
          </w:p>
        </w:tc>
        <w:tc>
          <w:tcPr>
            <w:tcW w:w="1320" w:type="dxa"/>
            <w:tcBorders>
              <w:tl2br w:val="nil"/>
              <w:tr2bl w:val="nil"/>
            </w:tcBorders>
            <w:vAlign w:val="center"/>
          </w:tcPr>
          <w:p w14:paraId="15A4A2C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550m</w:t>
            </w:r>
          </w:p>
        </w:tc>
        <w:tc>
          <w:tcPr>
            <w:tcW w:w="1605" w:type="dxa"/>
            <w:tcBorders>
              <w:tl2br w:val="nil"/>
              <w:tr2bl w:val="nil"/>
            </w:tcBorders>
            <w:vAlign w:val="center"/>
          </w:tcPr>
          <w:p w14:paraId="0CF8974E">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200人</w:t>
            </w:r>
          </w:p>
        </w:tc>
        <w:tc>
          <w:tcPr>
            <w:tcW w:w="2557" w:type="dxa"/>
            <w:vMerge w:val="continue"/>
            <w:tcBorders>
              <w:tl2br w:val="nil"/>
              <w:tr2bl w:val="nil"/>
            </w:tcBorders>
            <w:vAlign w:val="center"/>
          </w:tcPr>
          <w:p w14:paraId="18A5D788">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1C3AE6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0D8240A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0857F7D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上禄裱村</w:t>
            </w:r>
          </w:p>
        </w:tc>
        <w:tc>
          <w:tcPr>
            <w:tcW w:w="1200" w:type="dxa"/>
            <w:tcBorders>
              <w:tl2br w:val="nil"/>
              <w:tr2bl w:val="nil"/>
            </w:tcBorders>
            <w:vAlign w:val="center"/>
          </w:tcPr>
          <w:p w14:paraId="2168AD9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南面</w:t>
            </w:r>
          </w:p>
        </w:tc>
        <w:tc>
          <w:tcPr>
            <w:tcW w:w="1320" w:type="dxa"/>
            <w:tcBorders>
              <w:tl2br w:val="nil"/>
              <w:tr2bl w:val="nil"/>
            </w:tcBorders>
            <w:vAlign w:val="center"/>
          </w:tcPr>
          <w:p w14:paraId="1C78D3D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800m</w:t>
            </w:r>
          </w:p>
        </w:tc>
        <w:tc>
          <w:tcPr>
            <w:tcW w:w="1605" w:type="dxa"/>
            <w:tcBorders>
              <w:tl2br w:val="nil"/>
              <w:tr2bl w:val="nil"/>
            </w:tcBorders>
            <w:vAlign w:val="center"/>
          </w:tcPr>
          <w:p w14:paraId="4922A68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300人</w:t>
            </w:r>
          </w:p>
        </w:tc>
        <w:tc>
          <w:tcPr>
            <w:tcW w:w="2557" w:type="dxa"/>
            <w:vMerge w:val="continue"/>
            <w:tcBorders>
              <w:tl2br w:val="nil"/>
              <w:tr2bl w:val="nil"/>
            </w:tcBorders>
            <w:vAlign w:val="center"/>
          </w:tcPr>
          <w:p w14:paraId="1804E143">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2D56FC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3997B14A">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16BC88BF">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庄房村</w:t>
            </w:r>
          </w:p>
        </w:tc>
        <w:tc>
          <w:tcPr>
            <w:tcW w:w="1200" w:type="dxa"/>
            <w:tcBorders>
              <w:tl2br w:val="nil"/>
              <w:tr2bl w:val="nil"/>
            </w:tcBorders>
            <w:vAlign w:val="center"/>
          </w:tcPr>
          <w:p w14:paraId="364D79A3">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东北面</w:t>
            </w:r>
          </w:p>
        </w:tc>
        <w:tc>
          <w:tcPr>
            <w:tcW w:w="1320" w:type="dxa"/>
            <w:tcBorders>
              <w:tl2br w:val="nil"/>
              <w:tr2bl w:val="nil"/>
            </w:tcBorders>
            <w:vAlign w:val="center"/>
          </w:tcPr>
          <w:p w14:paraId="7E1610AC">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2200m</w:t>
            </w:r>
          </w:p>
        </w:tc>
        <w:tc>
          <w:tcPr>
            <w:tcW w:w="1605" w:type="dxa"/>
            <w:tcBorders>
              <w:tl2br w:val="nil"/>
              <w:tr2bl w:val="nil"/>
            </w:tcBorders>
            <w:vAlign w:val="center"/>
          </w:tcPr>
          <w:p w14:paraId="341E501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230人</w:t>
            </w:r>
          </w:p>
        </w:tc>
        <w:tc>
          <w:tcPr>
            <w:tcW w:w="2557" w:type="dxa"/>
            <w:vMerge w:val="continue"/>
            <w:tcBorders>
              <w:tl2br w:val="nil"/>
              <w:tr2bl w:val="nil"/>
            </w:tcBorders>
            <w:vAlign w:val="center"/>
          </w:tcPr>
          <w:p w14:paraId="4D3D83EF">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4F7B63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340F547B">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6A78599F">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大石凹村</w:t>
            </w:r>
          </w:p>
        </w:tc>
        <w:tc>
          <w:tcPr>
            <w:tcW w:w="1200" w:type="dxa"/>
            <w:tcBorders>
              <w:tl2br w:val="nil"/>
              <w:tr2bl w:val="nil"/>
            </w:tcBorders>
            <w:vAlign w:val="center"/>
          </w:tcPr>
          <w:p w14:paraId="157281A2">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北面</w:t>
            </w:r>
          </w:p>
        </w:tc>
        <w:tc>
          <w:tcPr>
            <w:tcW w:w="1320" w:type="dxa"/>
            <w:tcBorders>
              <w:tl2br w:val="nil"/>
              <w:tr2bl w:val="nil"/>
            </w:tcBorders>
            <w:vAlign w:val="center"/>
          </w:tcPr>
          <w:p w14:paraId="2D2CA25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2000m</w:t>
            </w:r>
          </w:p>
        </w:tc>
        <w:tc>
          <w:tcPr>
            <w:tcW w:w="1605" w:type="dxa"/>
            <w:tcBorders>
              <w:tl2br w:val="nil"/>
              <w:tr2bl w:val="nil"/>
            </w:tcBorders>
            <w:vAlign w:val="center"/>
          </w:tcPr>
          <w:p w14:paraId="2389C2E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350人</w:t>
            </w:r>
          </w:p>
        </w:tc>
        <w:tc>
          <w:tcPr>
            <w:tcW w:w="2557" w:type="dxa"/>
            <w:vMerge w:val="continue"/>
            <w:tcBorders>
              <w:tl2br w:val="nil"/>
              <w:tr2bl w:val="nil"/>
            </w:tcBorders>
            <w:vAlign w:val="center"/>
          </w:tcPr>
          <w:p w14:paraId="4259B6C6">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0CFB99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4FB76CE7">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6C9BA99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花箐村</w:t>
            </w:r>
          </w:p>
        </w:tc>
        <w:tc>
          <w:tcPr>
            <w:tcW w:w="1200" w:type="dxa"/>
            <w:tcBorders>
              <w:tl2br w:val="nil"/>
              <w:tr2bl w:val="nil"/>
            </w:tcBorders>
            <w:vAlign w:val="center"/>
          </w:tcPr>
          <w:p w14:paraId="1E797F0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东北面</w:t>
            </w:r>
          </w:p>
        </w:tc>
        <w:tc>
          <w:tcPr>
            <w:tcW w:w="1320" w:type="dxa"/>
            <w:tcBorders>
              <w:tl2br w:val="nil"/>
              <w:tr2bl w:val="nil"/>
            </w:tcBorders>
            <w:vAlign w:val="center"/>
          </w:tcPr>
          <w:p w14:paraId="29B2AE85">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2500m</w:t>
            </w:r>
          </w:p>
        </w:tc>
        <w:tc>
          <w:tcPr>
            <w:tcW w:w="1605" w:type="dxa"/>
            <w:tcBorders>
              <w:tl2br w:val="nil"/>
              <w:tr2bl w:val="nil"/>
            </w:tcBorders>
            <w:vAlign w:val="center"/>
          </w:tcPr>
          <w:p w14:paraId="0AB6C8BC">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140人</w:t>
            </w:r>
          </w:p>
        </w:tc>
        <w:tc>
          <w:tcPr>
            <w:tcW w:w="2557" w:type="dxa"/>
            <w:vMerge w:val="continue"/>
            <w:tcBorders>
              <w:tl2br w:val="nil"/>
              <w:tr2bl w:val="nil"/>
            </w:tcBorders>
            <w:vAlign w:val="center"/>
          </w:tcPr>
          <w:p w14:paraId="5713FDBB">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57CCF5F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57CBE90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350FE8BC">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海湾村</w:t>
            </w:r>
          </w:p>
        </w:tc>
        <w:tc>
          <w:tcPr>
            <w:tcW w:w="1200" w:type="dxa"/>
            <w:tcBorders>
              <w:tl2br w:val="nil"/>
              <w:tr2bl w:val="nil"/>
            </w:tcBorders>
            <w:vAlign w:val="center"/>
          </w:tcPr>
          <w:p w14:paraId="4FE0BB8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西面</w:t>
            </w:r>
          </w:p>
        </w:tc>
        <w:tc>
          <w:tcPr>
            <w:tcW w:w="1320" w:type="dxa"/>
            <w:tcBorders>
              <w:tl2br w:val="nil"/>
              <w:tr2bl w:val="nil"/>
            </w:tcBorders>
            <w:vAlign w:val="center"/>
          </w:tcPr>
          <w:p w14:paraId="3DEE3498">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2300m</w:t>
            </w:r>
          </w:p>
        </w:tc>
        <w:tc>
          <w:tcPr>
            <w:tcW w:w="1605" w:type="dxa"/>
            <w:tcBorders>
              <w:tl2br w:val="nil"/>
              <w:tr2bl w:val="nil"/>
            </w:tcBorders>
            <w:vAlign w:val="center"/>
          </w:tcPr>
          <w:p w14:paraId="562B900A">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280人</w:t>
            </w:r>
          </w:p>
        </w:tc>
        <w:tc>
          <w:tcPr>
            <w:tcW w:w="2557" w:type="dxa"/>
            <w:vMerge w:val="continue"/>
            <w:tcBorders>
              <w:tl2br w:val="nil"/>
              <w:tr2bl w:val="nil"/>
            </w:tcBorders>
            <w:vAlign w:val="center"/>
          </w:tcPr>
          <w:p w14:paraId="416A72F3">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254884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34D7709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5C94ADAF">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散户</w:t>
            </w:r>
          </w:p>
        </w:tc>
        <w:tc>
          <w:tcPr>
            <w:tcW w:w="1200" w:type="dxa"/>
            <w:tcBorders>
              <w:tl2br w:val="nil"/>
              <w:tr2bl w:val="nil"/>
            </w:tcBorders>
            <w:vAlign w:val="center"/>
          </w:tcPr>
          <w:p w14:paraId="56FD951C">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东面</w:t>
            </w:r>
          </w:p>
        </w:tc>
        <w:tc>
          <w:tcPr>
            <w:tcW w:w="1320" w:type="dxa"/>
            <w:tcBorders>
              <w:tl2br w:val="nil"/>
              <w:tr2bl w:val="nil"/>
            </w:tcBorders>
            <w:vAlign w:val="center"/>
          </w:tcPr>
          <w:p w14:paraId="73DF000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50m</w:t>
            </w:r>
          </w:p>
        </w:tc>
        <w:tc>
          <w:tcPr>
            <w:tcW w:w="1605" w:type="dxa"/>
            <w:tcBorders>
              <w:tl2br w:val="nil"/>
              <w:tr2bl w:val="nil"/>
            </w:tcBorders>
            <w:vAlign w:val="center"/>
          </w:tcPr>
          <w:p w14:paraId="42D666AE">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24人</w:t>
            </w:r>
          </w:p>
        </w:tc>
        <w:tc>
          <w:tcPr>
            <w:tcW w:w="2557" w:type="dxa"/>
            <w:vMerge w:val="continue"/>
            <w:tcBorders>
              <w:tl2br w:val="nil"/>
              <w:tr2bl w:val="nil"/>
            </w:tcBorders>
            <w:vAlign w:val="center"/>
          </w:tcPr>
          <w:p w14:paraId="23BBEF9C">
            <w:pPr>
              <w:widowControl w:val="0"/>
              <w:wordWrap/>
              <w:adjustRightInd/>
              <w:snapToGrid/>
              <w:spacing w:line="240" w:lineRule="auto"/>
              <w:ind w:right="0"/>
              <w:contextualSpacing/>
              <w:jc w:val="both"/>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6FD196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tcBorders>
              <w:tl2br w:val="nil"/>
              <w:tr2bl w:val="nil"/>
            </w:tcBorders>
            <w:vAlign w:val="center"/>
          </w:tcPr>
          <w:p w14:paraId="6446BFB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声环境</w:t>
            </w:r>
          </w:p>
        </w:tc>
        <w:tc>
          <w:tcPr>
            <w:tcW w:w="1683" w:type="dxa"/>
            <w:tcBorders>
              <w:tl2br w:val="nil"/>
              <w:tr2bl w:val="nil"/>
            </w:tcBorders>
            <w:vAlign w:val="center"/>
          </w:tcPr>
          <w:p w14:paraId="76EFDE85">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散户</w:t>
            </w:r>
          </w:p>
        </w:tc>
        <w:tc>
          <w:tcPr>
            <w:tcW w:w="1200" w:type="dxa"/>
            <w:tcBorders>
              <w:tl2br w:val="nil"/>
              <w:tr2bl w:val="nil"/>
            </w:tcBorders>
            <w:vAlign w:val="center"/>
          </w:tcPr>
          <w:p w14:paraId="451395F2">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东面</w:t>
            </w:r>
          </w:p>
        </w:tc>
        <w:tc>
          <w:tcPr>
            <w:tcW w:w="1320" w:type="dxa"/>
            <w:tcBorders>
              <w:tl2br w:val="nil"/>
              <w:tr2bl w:val="nil"/>
            </w:tcBorders>
            <w:vAlign w:val="center"/>
          </w:tcPr>
          <w:p w14:paraId="7CCD76B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50m</w:t>
            </w:r>
          </w:p>
        </w:tc>
        <w:tc>
          <w:tcPr>
            <w:tcW w:w="1605" w:type="dxa"/>
            <w:tcBorders>
              <w:tl2br w:val="nil"/>
              <w:tr2bl w:val="nil"/>
            </w:tcBorders>
            <w:vAlign w:val="center"/>
          </w:tcPr>
          <w:p w14:paraId="19C7AA1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24人</w:t>
            </w:r>
          </w:p>
        </w:tc>
        <w:tc>
          <w:tcPr>
            <w:tcW w:w="2557" w:type="dxa"/>
            <w:tcBorders>
              <w:tl2br w:val="nil"/>
              <w:tr2bl w:val="nil"/>
            </w:tcBorders>
            <w:vAlign w:val="center"/>
          </w:tcPr>
          <w:p w14:paraId="1AD77A6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GB3096-2008《声环境质量标准》2类区噪声标准</w:t>
            </w:r>
          </w:p>
        </w:tc>
      </w:tr>
      <w:tr w14:paraId="04AC584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472" w:hRule="atLeast"/>
          <w:jc w:val="center"/>
        </w:trPr>
        <w:tc>
          <w:tcPr>
            <w:tcW w:w="1310" w:type="dxa"/>
            <w:vMerge w:val="restart"/>
            <w:tcBorders>
              <w:tl2br w:val="nil"/>
              <w:tr2bl w:val="nil"/>
            </w:tcBorders>
            <w:vAlign w:val="center"/>
          </w:tcPr>
          <w:p w14:paraId="149A22C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地表水</w:t>
            </w:r>
          </w:p>
        </w:tc>
        <w:tc>
          <w:tcPr>
            <w:tcW w:w="1683" w:type="dxa"/>
            <w:tcBorders>
              <w:tl2br w:val="nil"/>
              <w:tr2bl w:val="nil"/>
            </w:tcBorders>
            <w:vAlign w:val="center"/>
          </w:tcPr>
          <w:p w14:paraId="7E1C7A2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禄脿河</w:t>
            </w:r>
          </w:p>
        </w:tc>
        <w:tc>
          <w:tcPr>
            <w:tcW w:w="1200" w:type="dxa"/>
            <w:tcBorders>
              <w:tl2br w:val="nil"/>
              <w:tr2bl w:val="nil"/>
            </w:tcBorders>
            <w:vAlign w:val="center"/>
          </w:tcPr>
          <w:p w14:paraId="03FC0870">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西北面</w:t>
            </w:r>
          </w:p>
        </w:tc>
        <w:tc>
          <w:tcPr>
            <w:tcW w:w="1320" w:type="dxa"/>
            <w:tcBorders>
              <w:tl2br w:val="nil"/>
              <w:tr2bl w:val="nil"/>
            </w:tcBorders>
            <w:vAlign w:val="center"/>
          </w:tcPr>
          <w:p w14:paraId="0DFA2EC8">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1900m</w:t>
            </w:r>
          </w:p>
        </w:tc>
        <w:tc>
          <w:tcPr>
            <w:tcW w:w="1605" w:type="dxa"/>
            <w:vMerge w:val="restart"/>
            <w:tcBorders>
              <w:tl2br w:val="nil"/>
              <w:tr2bl w:val="nil"/>
            </w:tcBorders>
            <w:vAlign w:val="center"/>
          </w:tcPr>
          <w:p w14:paraId="07ADE91A">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w:t>
            </w:r>
          </w:p>
        </w:tc>
        <w:tc>
          <w:tcPr>
            <w:tcW w:w="2557" w:type="dxa"/>
            <w:vMerge w:val="restart"/>
            <w:tcBorders>
              <w:tl2br w:val="nil"/>
              <w:tr2bl w:val="nil"/>
            </w:tcBorders>
            <w:vAlign w:val="center"/>
          </w:tcPr>
          <w:p w14:paraId="28E6A12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《地表水环境质量标准》（GB3838-2002）</w:t>
            </w: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fldChar w:fldCharType="begin"/>
            </w: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instrText xml:space="preserve"> = 3 \* ROMAN \* MERGEFORMAT </w:instrText>
            </w: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fldChar w:fldCharType="separate"/>
            </w: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III</w:t>
            </w: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fldChar w:fldCharType="end"/>
            </w: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类水质标准</w:t>
            </w:r>
          </w:p>
        </w:tc>
      </w:tr>
      <w:tr w14:paraId="06EDC06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5A0278CB">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487EA9F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安丰营小河</w:t>
            </w:r>
          </w:p>
        </w:tc>
        <w:tc>
          <w:tcPr>
            <w:tcW w:w="1200" w:type="dxa"/>
            <w:tcBorders>
              <w:tl2br w:val="nil"/>
              <w:tr2bl w:val="nil"/>
            </w:tcBorders>
            <w:vAlign w:val="center"/>
          </w:tcPr>
          <w:p w14:paraId="4379603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东面</w:t>
            </w:r>
          </w:p>
        </w:tc>
        <w:tc>
          <w:tcPr>
            <w:tcW w:w="1320" w:type="dxa"/>
            <w:tcBorders>
              <w:tl2br w:val="nil"/>
              <w:tr2bl w:val="nil"/>
            </w:tcBorders>
            <w:vAlign w:val="center"/>
          </w:tcPr>
          <w:p w14:paraId="39B92CB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475m</w:t>
            </w:r>
          </w:p>
        </w:tc>
        <w:tc>
          <w:tcPr>
            <w:tcW w:w="1605" w:type="dxa"/>
            <w:vMerge w:val="continue"/>
            <w:tcBorders>
              <w:tl2br w:val="nil"/>
              <w:tr2bl w:val="nil"/>
            </w:tcBorders>
            <w:vAlign w:val="center"/>
          </w:tcPr>
          <w:p w14:paraId="3E3E8A84">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2557" w:type="dxa"/>
            <w:vMerge w:val="continue"/>
            <w:tcBorders>
              <w:tl2br w:val="nil"/>
              <w:tr2bl w:val="nil"/>
            </w:tcBorders>
            <w:vAlign w:val="center"/>
          </w:tcPr>
          <w:p w14:paraId="3F64345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563D545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restart"/>
            <w:tcBorders>
              <w:tl2br w:val="nil"/>
              <w:tr2bl w:val="nil"/>
            </w:tcBorders>
            <w:vAlign w:val="center"/>
          </w:tcPr>
          <w:p w14:paraId="4E932708">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地下水</w:t>
            </w:r>
          </w:p>
        </w:tc>
        <w:tc>
          <w:tcPr>
            <w:tcW w:w="1683" w:type="dxa"/>
            <w:tcBorders>
              <w:tl2br w:val="nil"/>
              <w:tr2bl w:val="nil"/>
            </w:tcBorders>
            <w:vAlign w:val="center"/>
          </w:tcPr>
          <w:p w14:paraId="5AB51CB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安丰营村龙潭</w:t>
            </w:r>
          </w:p>
        </w:tc>
        <w:tc>
          <w:tcPr>
            <w:tcW w:w="1200" w:type="dxa"/>
            <w:tcBorders>
              <w:tl2br w:val="nil"/>
              <w:tr2bl w:val="nil"/>
            </w:tcBorders>
            <w:vAlign w:val="center"/>
          </w:tcPr>
          <w:p w14:paraId="4C638EC1">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北面</w:t>
            </w:r>
          </w:p>
        </w:tc>
        <w:tc>
          <w:tcPr>
            <w:tcW w:w="1320" w:type="dxa"/>
            <w:tcBorders>
              <w:tl2br w:val="nil"/>
              <w:tr2bl w:val="nil"/>
            </w:tcBorders>
            <w:vAlign w:val="center"/>
          </w:tcPr>
          <w:p w14:paraId="0C1EEF3A">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1500m</w:t>
            </w:r>
          </w:p>
        </w:tc>
        <w:tc>
          <w:tcPr>
            <w:tcW w:w="1605" w:type="dxa"/>
            <w:vMerge w:val="restart"/>
            <w:tcBorders>
              <w:tl2br w:val="nil"/>
              <w:tr2bl w:val="nil"/>
            </w:tcBorders>
            <w:vAlign w:val="center"/>
          </w:tcPr>
          <w:p w14:paraId="2DB04619">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w:t>
            </w:r>
          </w:p>
        </w:tc>
        <w:tc>
          <w:tcPr>
            <w:tcW w:w="2557" w:type="dxa"/>
            <w:vMerge w:val="restart"/>
            <w:tcBorders>
              <w:tl2br w:val="nil"/>
              <w:tr2bl w:val="nil"/>
            </w:tcBorders>
            <w:vAlign w:val="center"/>
          </w:tcPr>
          <w:p w14:paraId="2E8AB62C">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GB/T14848-93《地下水质量标准》 Ⅲ类标准</w:t>
            </w:r>
          </w:p>
        </w:tc>
      </w:tr>
      <w:tr w14:paraId="65B7CE3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vMerge w:val="continue"/>
            <w:tcBorders>
              <w:tl2br w:val="nil"/>
              <w:tr2bl w:val="nil"/>
            </w:tcBorders>
            <w:vAlign w:val="center"/>
          </w:tcPr>
          <w:p w14:paraId="78701AD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1683" w:type="dxa"/>
            <w:tcBorders>
              <w:tl2br w:val="nil"/>
              <w:tr2bl w:val="nil"/>
            </w:tcBorders>
            <w:vAlign w:val="center"/>
          </w:tcPr>
          <w:p w14:paraId="6176DA34">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云丰村龙潭</w:t>
            </w:r>
          </w:p>
        </w:tc>
        <w:tc>
          <w:tcPr>
            <w:tcW w:w="1200" w:type="dxa"/>
            <w:tcBorders>
              <w:tl2br w:val="nil"/>
              <w:tr2bl w:val="nil"/>
            </w:tcBorders>
            <w:vAlign w:val="center"/>
          </w:tcPr>
          <w:p w14:paraId="5A625075">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东面</w:t>
            </w:r>
          </w:p>
        </w:tc>
        <w:tc>
          <w:tcPr>
            <w:tcW w:w="1320" w:type="dxa"/>
            <w:tcBorders>
              <w:tl2br w:val="nil"/>
              <w:tr2bl w:val="nil"/>
            </w:tcBorders>
            <w:vAlign w:val="center"/>
          </w:tcPr>
          <w:p w14:paraId="1518C603">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2000m</w:t>
            </w:r>
          </w:p>
        </w:tc>
        <w:tc>
          <w:tcPr>
            <w:tcW w:w="1605" w:type="dxa"/>
            <w:vMerge w:val="continue"/>
            <w:tcBorders>
              <w:tl2br w:val="nil"/>
              <w:tr2bl w:val="nil"/>
            </w:tcBorders>
            <w:vAlign w:val="center"/>
          </w:tcPr>
          <w:p w14:paraId="3E3799FB">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c>
          <w:tcPr>
            <w:tcW w:w="2557" w:type="dxa"/>
            <w:vMerge w:val="continue"/>
            <w:tcBorders>
              <w:tl2br w:val="nil"/>
              <w:tr2bl w:val="nil"/>
            </w:tcBorders>
            <w:vAlign w:val="center"/>
          </w:tcPr>
          <w:p w14:paraId="1CD2D4C6">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p>
        </w:tc>
      </w:tr>
      <w:tr w14:paraId="66E0946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310" w:type="dxa"/>
            <w:tcBorders>
              <w:tl2br w:val="nil"/>
              <w:tr2bl w:val="nil"/>
            </w:tcBorders>
            <w:vAlign w:val="center"/>
          </w:tcPr>
          <w:p w14:paraId="5B01440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生态</w:t>
            </w:r>
          </w:p>
        </w:tc>
        <w:tc>
          <w:tcPr>
            <w:tcW w:w="5808" w:type="dxa"/>
            <w:gridSpan w:val="4"/>
            <w:tcBorders>
              <w:tl2br w:val="nil"/>
              <w:tr2bl w:val="nil"/>
            </w:tcBorders>
            <w:vAlign w:val="center"/>
          </w:tcPr>
          <w:p w14:paraId="38396232">
            <w:pPr>
              <w:widowControl w:val="0"/>
              <w:wordWrap/>
              <w:adjustRightInd/>
              <w:snapToGrid/>
              <w:spacing w:line="240" w:lineRule="auto"/>
              <w:ind w:left="0" w:leftChars="0" w:right="0" w:firstLine="42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厂区及周围动植物</w:t>
            </w:r>
          </w:p>
        </w:tc>
        <w:tc>
          <w:tcPr>
            <w:tcW w:w="2557" w:type="dxa"/>
            <w:tcBorders>
              <w:tl2br w:val="nil"/>
              <w:tr2bl w:val="nil"/>
            </w:tcBorders>
            <w:vAlign w:val="center"/>
          </w:tcPr>
          <w:p w14:paraId="05FD667D">
            <w:pPr>
              <w:widowControl w:val="0"/>
              <w:wordWrap/>
              <w:adjustRightInd/>
              <w:snapToGrid/>
              <w:spacing w:line="240" w:lineRule="auto"/>
              <w:ind w:right="0"/>
              <w:contextualSpacing/>
              <w:jc w:val="center"/>
              <w:textAlignment w:val="auto"/>
              <w:outlineLvl w:val="9"/>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w:t>
            </w:r>
          </w:p>
        </w:tc>
      </w:tr>
    </w:tbl>
    <w:p w14:paraId="73E63F60">
      <w:pPr>
        <w:pStyle w:val="7"/>
        <w:rPr>
          <w:rFonts w:hint="eastAsia"/>
          <w:color w:val="000000" w:themeColor="text1"/>
          <w14:textFill>
            <w14:solidFill>
              <w14:schemeClr w14:val="tx1"/>
            </w14:solidFill>
          </w14:textFill>
        </w:rPr>
      </w:pPr>
    </w:p>
    <w:p w14:paraId="77B64F71">
      <w:pPr>
        <w:pStyle w:val="9"/>
        <w:keepNext/>
        <w:keepLines/>
        <w:spacing w:before="260" w:beforeLines="0" w:after="260" w:afterLines="0" w:line="416" w:lineRule="auto"/>
        <w:ind w:firstLine="0" w:firstLineChars="0"/>
        <w:rPr>
          <w:rFonts w:hint="eastAsia" w:ascii="Arial" w:hAnsi="Arial" w:eastAsia="宋体" w:cs="Times New Roman"/>
          <w:b/>
          <w:bCs/>
          <w:color w:val="000000" w:themeColor="text1"/>
          <w:kern w:val="2"/>
          <w:sz w:val="28"/>
          <w:szCs w:val="28"/>
          <w:lang w:eastAsia="zh-CN"/>
          <w14:textFill>
            <w14:solidFill>
              <w14:schemeClr w14:val="tx1"/>
            </w14:solidFill>
          </w14:textFill>
        </w:rPr>
      </w:pPr>
      <w:bookmarkStart w:id="87" w:name="_Toc487425429"/>
      <w:bookmarkStart w:id="88" w:name="_Toc19127"/>
      <w:bookmarkStart w:id="89" w:name="_Toc394059363"/>
      <w:bookmarkStart w:id="90" w:name="_Toc11590"/>
      <w:bookmarkStart w:id="91" w:name="_Toc16722"/>
      <w:bookmarkStart w:id="92" w:name="_Toc1173"/>
      <w:bookmarkStart w:id="93" w:name="_Toc20731"/>
      <w:bookmarkStart w:id="94" w:name="_Toc26591"/>
      <w:bookmarkStart w:id="95" w:name="_Toc27946"/>
      <w:bookmarkStart w:id="96" w:name="_Toc8640"/>
      <w:bookmarkStart w:id="97" w:name="_Toc488779604"/>
      <w:bookmarkStart w:id="98" w:name="_Toc17837"/>
      <w:r>
        <w:rPr>
          <w:rFonts w:hint="eastAsia" w:ascii="Arial" w:hAnsi="Arial" w:eastAsia="宋体" w:cs="Times New Roman"/>
          <w:b/>
          <w:bCs/>
          <w:color w:val="000000" w:themeColor="text1"/>
          <w:kern w:val="2"/>
          <w:sz w:val="28"/>
          <w:szCs w:val="28"/>
          <w:lang w:eastAsia="zh-CN"/>
          <w14:textFill>
            <w14:solidFill>
              <w14:schemeClr w14:val="tx1"/>
            </w14:solidFill>
          </w14:textFill>
        </w:rPr>
        <w:t>3.3 涉及环境风险物质情况</w:t>
      </w:r>
      <w:bookmarkEnd w:id="87"/>
      <w:bookmarkEnd w:id="88"/>
      <w:bookmarkEnd w:id="89"/>
      <w:bookmarkEnd w:id="90"/>
      <w:bookmarkEnd w:id="91"/>
      <w:bookmarkEnd w:id="92"/>
      <w:bookmarkEnd w:id="93"/>
      <w:bookmarkEnd w:id="94"/>
      <w:bookmarkEnd w:id="95"/>
      <w:bookmarkEnd w:id="96"/>
    </w:p>
    <w:bookmarkEnd w:id="97"/>
    <w:bookmarkEnd w:id="98"/>
    <w:p w14:paraId="7AB97789">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default" w:ascii="宋体" w:hAnsi="宋体" w:eastAsia="宋体" w:cs="Times New Roman"/>
          <w:color w:val="000000" w:themeColor="text1"/>
          <w:sz w:val="24"/>
          <w:szCs w:val="24"/>
          <w:lang w:val="en-US" w:eastAsia="zh-CN"/>
          <w14:textFill>
            <w14:solidFill>
              <w14:schemeClr w14:val="tx1"/>
            </w14:solidFill>
          </w14:textFill>
        </w:rPr>
      </w:pPr>
      <w:bookmarkStart w:id="99" w:name="_Toc1467"/>
      <w:r>
        <w:rPr>
          <w:rFonts w:hint="eastAsia" w:ascii="宋体" w:hAnsi="宋体" w:cs="Times New Roman"/>
          <w:color w:val="000000" w:themeColor="text1"/>
          <w:sz w:val="24"/>
          <w:szCs w:val="24"/>
          <w:lang w:eastAsia="zh-CN"/>
          <w14:textFill>
            <w14:solidFill>
              <w14:schemeClr w14:val="tx1"/>
            </w14:solidFill>
          </w14:textFill>
        </w:rPr>
        <w:t>安宁泰丰林化工有限公司</w:t>
      </w:r>
      <w:r>
        <w:rPr>
          <w:rFonts w:hint="eastAsia" w:ascii="宋体" w:hAnsi="宋体" w:eastAsia="宋体" w:cs="Times New Roman"/>
          <w:color w:val="000000" w:themeColor="text1"/>
          <w:sz w:val="24"/>
          <w:szCs w:val="24"/>
          <w:lang w:eastAsia="zh-CN"/>
          <w14:textFill>
            <w14:solidFill>
              <w14:schemeClr w14:val="tx1"/>
            </w14:solidFill>
          </w14:textFill>
        </w:rPr>
        <w:t>在生产过程中涉及环境风险物质使用，</w:t>
      </w:r>
      <w:r>
        <w:rPr>
          <w:rFonts w:hint="eastAsia" w:ascii="宋体" w:hAnsi="宋体" w:cs="Times New Roman"/>
          <w:color w:val="000000" w:themeColor="text1"/>
          <w:sz w:val="24"/>
          <w:szCs w:val="24"/>
          <w:lang w:val="en-US" w:eastAsia="zh-CN"/>
          <w14:textFill>
            <w14:solidFill>
              <w14:schemeClr w14:val="tx1"/>
            </w14:solidFill>
          </w14:textFill>
        </w:rPr>
        <w:t>危废</w:t>
      </w:r>
      <w:r>
        <w:rPr>
          <w:rFonts w:hint="eastAsia" w:ascii="宋体" w:hAnsi="宋体" w:eastAsia="宋体" w:cs="Times New Roman"/>
          <w:color w:val="000000" w:themeColor="text1"/>
          <w:sz w:val="24"/>
          <w:szCs w:val="24"/>
          <w:lang w:eastAsia="zh-CN"/>
          <w14:textFill>
            <w14:solidFill>
              <w14:schemeClr w14:val="tx1"/>
            </w14:solidFill>
          </w14:textFill>
        </w:rPr>
        <w:t>主要</w:t>
      </w:r>
      <w:r>
        <w:rPr>
          <w:rFonts w:hint="eastAsia" w:ascii="宋体" w:hAnsi="宋体" w:cs="Times New Roman"/>
          <w:color w:val="000000" w:themeColor="text1"/>
          <w:sz w:val="24"/>
          <w:szCs w:val="24"/>
          <w:lang w:val="en-US" w:eastAsia="zh-CN"/>
          <w14:textFill>
            <w14:solidFill>
              <w14:schemeClr w14:val="tx1"/>
            </w14:solidFill>
          </w14:textFill>
        </w:rPr>
        <w:t>有废机油；废气有二氧化硫,氮氧化合物,非甲烷总烃；原料有松节油，落地松脂。</w:t>
      </w:r>
    </w:p>
    <w:p w14:paraId="7E158144">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default" w:ascii="宋体" w:hAnsi="宋体" w:eastAsia="宋体" w:cs="Times New Roman"/>
          <w:color w:val="000000" w:themeColor="text1"/>
          <w:sz w:val="24"/>
          <w:szCs w:val="24"/>
          <w:lang w:val="en-US" w:eastAsia="zh-CN"/>
          <w14:textFill>
            <w14:solidFill>
              <w14:schemeClr w14:val="tx1"/>
            </w14:solidFill>
          </w14:textFill>
        </w:rPr>
      </w:pPr>
      <w:r>
        <w:rPr>
          <w:rFonts w:hint="eastAsia" w:ascii="宋体" w:hAnsi="宋体" w:cs="Times New Roman"/>
          <w:color w:val="000000" w:themeColor="text1"/>
          <w:sz w:val="24"/>
          <w:szCs w:val="24"/>
          <w:lang w:eastAsia="zh-CN"/>
          <w14:textFill>
            <w14:solidFill>
              <w14:schemeClr w14:val="tx1"/>
            </w14:solidFill>
          </w14:textFill>
        </w:rPr>
        <w:t>安宁泰丰林化工有限公司</w:t>
      </w:r>
      <w:r>
        <w:rPr>
          <w:rFonts w:hint="eastAsia" w:ascii="宋体" w:hAnsi="宋体" w:eastAsia="宋体" w:cs="Times New Roman"/>
          <w:color w:val="000000" w:themeColor="text1"/>
          <w:sz w:val="24"/>
          <w:szCs w:val="24"/>
          <w:lang w:eastAsia="zh-CN"/>
          <w14:textFill>
            <w14:solidFill>
              <w14:schemeClr w14:val="tx1"/>
            </w14:solidFill>
          </w14:textFill>
        </w:rPr>
        <w:t>在生产过程中涉及环境风险物质使用，对照</w:t>
      </w:r>
      <w:r>
        <w:rPr>
          <w:rFonts w:hint="eastAsia" w:ascii="宋体" w:hAnsi="宋体" w:eastAsia="宋体" w:cs="宋体"/>
          <w:color w:val="000000" w:themeColor="text1"/>
          <w:sz w:val="24"/>
          <w:szCs w:val="24"/>
          <w14:textFill>
            <w14:solidFill>
              <w14:schemeClr w14:val="tx1"/>
            </w14:solidFill>
          </w14:textFill>
        </w:rPr>
        <w:t>《企业突发环境事件风险等级分级方法》（HJ941-2018）附录A（以下简称“附录A”）</w:t>
      </w:r>
      <w:r>
        <w:rPr>
          <w:rFonts w:hint="eastAsia" w:ascii="宋体" w:hAnsi="宋体" w:cs="宋体"/>
          <w:color w:val="000000" w:themeColor="text1"/>
          <w:sz w:val="24"/>
          <w:szCs w:val="24"/>
          <w:lang w:val="en-US"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危险化学品重大危险源辨识</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（GB 18218-2018）</w:t>
      </w:r>
      <w:r>
        <w:rPr>
          <w:rFonts w:hint="eastAsia" w:ascii="宋体" w:hAnsi="宋体" w:eastAsia="宋体" w:cs="Times New Roman"/>
          <w:color w:val="000000" w:themeColor="text1"/>
          <w:sz w:val="24"/>
          <w:szCs w:val="24"/>
          <w:lang w:eastAsia="zh-CN"/>
          <w14:textFill>
            <w14:solidFill>
              <w14:schemeClr w14:val="tx1"/>
            </w14:solidFill>
          </w14:textFill>
        </w:rPr>
        <w:t>筛选环境风险物质主要为</w:t>
      </w:r>
      <w:r>
        <w:rPr>
          <w:rFonts w:hint="eastAsia" w:ascii="宋体" w:hAnsi="宋体" w:cs="Times New Roman"/>
          <w:color w:val="000000" w:themeColor="text1"/>
          <w:sz w:val="24"/>
          <w:szCs w:val="24"/>
          <w:lang w:val="en-US" w:eastAsia="zh-CN"/>
          <w14:textFill>
            <w14:solidFill>
              <w14:schemeClr w14:val="tx1"/>
            </w14:solidFill>
          </w14:textFill>
        </w:rPr>
        <w:t>废机油、松节油、二氧化硫、氮氧化物。</w:t>
      </w:r>
    </w:p>
    <w:p w14:paraId="0F1FD8DE">
      <w:pPr>
        <w:pStyle w:val="2"/>
        <w:outlineLvl w:val="9"/>
        <w:rPr>
          <w:rFonts w:hint="eastAsia"/>
          <w:color w:val="000000" w:themeColor="text1"/>
          <w:lang w:val="en-US" w:eastAsia="zh-CN"/>
          <w14:textFill>
            <w14:solidFill>
              <w14:schemeClr w14:val="tx1"/>
            </w14:solidFill>
          </w14:textFill>
        </w:rPr>
      </w:pPr>
    </w:p>
    <w:p w14:paraId="6BF5DBDF">
      <w:pPr>
        <w:keepNext w:val="0"/>
        <w:keepLines w:val="0"/>
        <w:pageBreakBefore w:val="0"/>
        <w:widowControl w:val="0"/>
        <w:kinsoku/>
        <w:wordWrap/>
        <w:overflowPunct/>
        <w:topLinePunct w:val="0"/>
        <w:autoSpaceDE/>
        <w:autoSpaceDN/>
        <w:bidi w:val="0"/>
        <w:adjustRightInd/>
        <w:snapToGrid/>
        <w:spacing w:line="360" w:lineRule="auto"/>
        <w:ind w:firstLine="482"/>
        <w:textAlignment w:val="auto"/>
        <w:outlineLvl w:val="9"/>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bookmarkStart w:id="100" w:name="_Toc7118"/>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1</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bookmarkEnd w:id="100"/>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废机油（</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废矿物油</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p>
    <w:p w14:paraId="0D7C4192">
      <w:pPr>
        <w:keepNext w:val="0"/>
        <w:keepLines w:val="0"/>
        <w:pageBreakBefore w:val="0"/>
        <w:widowControl w:val="0"/>
        <w:kinsoku/>
        <w:wordWrap/>
        <w:overflowPunct/>
        <w:topLinePunct w:val="0"/>
        <w:autoSpaceDE/>
        <w:autoSpaceDN/>
        <w:bidi w:val="0"/>
        <w:adjustRightInd/>
        <w:snapToGrid/>
        <w:spacing w:line="360" w:lineRule="auto"/>
        <w:ind w:firstLine="482"/>
        <w:textAlignment w:val="auto"/>
        <w:outlineLvl w:val="9"/>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zh-CN" w:eastAsia="zh-CN"/>
          <w14:textFill>
            <w14:solidFill>
              <w14:schemeClr w14:val="tx1"/>
            </w14:solidFill>
          </w14:textFill>
        </w:rPr>
        <w:t>车辆、轮船及其它机械维修过程中产生的废发动机油、制动器油、自动变速器油、齿轮油等废润滑油，</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用危废收集筒收集，委托有资质单位进行处理。</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废机油易燃，若储存或转移不当，遇火可能发生火灾。</w:t>
      </w:r>
    </w:p>
    <w:p w14:paraId="3B49E0C9">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eastAsia="宋体" w:cs="宋体"/>
          <w:color w:val="000000" w:themeColor="text1"/>
          <w:sz w:val="21"/>
          <w:szCs w:val="21"/>
          <w:lang w:eastAsia="zh-CN"/>
          <w14:textFill>
            <w14:solidFill>
              <w14:schemeClr w14:val="tx1"/>
            </w14:solidFill>
          </w14:textFill>
        </w:rPr>
        <w:t>表3-</w:t>
      </w:r>
      <w:r>
        <w:rPr>
          <w:rFonts w:hint="eastAsia" w:ascii="宋体" w:hAnsi="宋体" w:cs="宋体"/>
          <w:color w:val="000000" w:themeColor="text1"/>
          <w:sz w:val="21"/>
          <w:szCs w:val="21"/>
          <w:lang w:val="en-US" w:eastAsia="zh-CN"/>
          <w14:textFill>
            <w14:solidFill>
              <w14:schemeClr w14:val="tx1"/>
            </w14:solidFill>
          </w14:textFill>
        </w:rPr>
        <w:t>3</w:t>
      </w:r>
      <w:r>
        <w:rPr>
          <w:rFonts w:hint="eastAsia" w:ascii="宋体" w:hAnsi="宋体" w:eastAsia="宋体" w:cs="宋体"/>
          <w:color w:val="000000" w:themeColor="text1"/>
          <w:sz w:val="21"/>
          <w:szCs w:val="21"/>
          <w:lang w:eastAsia="zh-CN"/>
          <w14:textFill>
            <w14:solidFill>
              <w14:schemeClr w14:val="tx1"/>
            </w14:solidFill>
          </w14:textFill>
        </w:rPr>
        <w:t xml:space="preserve"> </w:t>
      </w:r>
      <w:r>
        <w:rPr>
          <w:rFonts w:hint="eastAsia" w:ascii="宋体" w:hAnsi="宋体" w:eastAsia="宋体" w:cs="宋体"/>
          <w:color w:val="000000" w:themeColor="text1"/>
          <w:sz w:val="21"/>
          <w:szCs w:val="21"/>
          <w:lang w:val="en-US" w:eastAsia="zh-CN"/>
          <w14:textFill>
            <w14:solidFill>
              <w14:schemeClr w14:val="tx1"/>
            </w14:solidFill>
          </w14:textFill>
        </w:rPr>
        <w:t xml:space="preserve"> </w:t>
      </w:r>
      <w:r>
        <w:rPr>
          <w:rFonts w:hint="eastAsia" w:ascii="宋体" w:hAnsi="宋体" w:eastAsia="宋体" w:cs="宋体"/>
          <w:color w:val="000000" w:themeColor="text1"/>
          <w:sz w:val="21"/>
          <w:szCs w:val="21"/>
          <w:lang w:eastAsia="zh-CN"/>
          <w14:textFill>
            <w14:solidFill>
              <w14:schemeClr w14:val="tx1"/>
            </w14:solidFill>
          </w14:textFill>
        </w:rPr>
        <w:t>废</w:t>
      </w:r>
      <w:r>
        <w:rPr>
          <w:rFonts w:hint="eastAsia" w:ascii="宋体" w:hAnsi="宋体" w:cs="宋体"/>
          <w:color w:val="000000" w:themeColor="text1"/>
          <w:sz w:val="21"/>
          <w:szCs w:val="21"/>
          <w:lang w:val="en-US" w:eastAsia="zh-CN"/>
          <w14:textFill>
            <w14:solidFill>
              <w14:schemeClr w14:val="tx1"/>
            </w14:solidFill>
          </w14:textFill>
        </w:rPr>
        <w:t>矿物油</w:t>
      </w:r>
      <w:r>
        <w:rPr>
          <w:rFonts w:hint="eastAsia" w:ascii="宋体" w:hAnsi="宋体" w:eastAsia="宋体" w:cs="宋体"/>
          <w:color w:val="000000" w:themeColor="text1"/>
          <w:sz w:val="21"/>
          <w:szCs w:val="21"/>
          <w:lang w:eastAsia="zh-CN"/>
          <w14:textFill>
            <w14:solidFill>
              <w14:schemeClr w14:val="tx1"/>
            </w14:solidFill>
          </w14:textFill>
        </w:rPr>
        <w:t>的理化性质</w:t>
      </w:r>
    </w:p>
    <w:tbl>
      <w:tblPr>
        <w:tblStyle w:val="23"/>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92"/>
        <w:gridCol w:w="882"/>
        <w:gridCol w:w="2750"/>
        <w:gridCol w:w="4860"/>
      </w:tblGrid>
      <w:tr w14:paraId="03EB75B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restart"/>
            <w:tcBorders>
              <w:tl2br w:val="nil"/>
              <w:tr2bl w:val="nil"/>
            </w:tcBorders>
            <w:noWrap w:val="0"/>
            <w:vAlign w:val="center"/>
          </w:tcPr>
          <w:p w14:paraId="3641D3EC">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标识</w:t>
            </w:r>
          </w:p>
        </w:tc>
        <w:tc>
          <w:tcPr>
            <w:tcW w:w="4572" w:type="pct"/>
            <w:gridSpan w:val="3"/>
            <w:tcBorders>
              <w:tl2br w:val="nil"/>
              <w:tr2bl w:val="nil"/>
            </w:tcBorders>
            <w:noWrap w:val="0"/>
            <w:vAlign w:val="center"/>
          </w:tcPr>
          <w:p w14:paraId="47FFE52B">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中文名：矿物油</w:t>
            </w:r>
          </w:p>
        </w:tc>
      </w:tr>
      <w:tr w14:paraId="304383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46D6B68B">
            <w:pPr>
              <w:snapToGrid w:val="0"/>
              <w:jc w:val="center"/>
              <w:rPr>
                <w:color w:val="000000" w:themeColor="text1"/>
                <w:szCs w:val="21"/>
                <w14:textFill>
                  <w14:solidFill>
                    <w14:schemeClr w14:val="tx1"/>
                  </w14:solidFill>
                </w14:textFill>
              </w:rPr>
            </w:pPr>
          </w:p>
        </w:tc>
        <w:tc>
          <w:tcPr>
            <w:tcW w:w="4572" w:type="pct"/>
            <w:gridSpan w:val="3"/>
            <w:tcBorders>
              <w:tl2br w:val="nil"/>
              <w:tr2bl w:val="nil"/>
            </w:tcBorders>
            <w:noWrap w:val="0"/>
            <w:vAlign w:val="center"/>
          </w:tcPr>
          <w:p w14:paraId="523998D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英文名：</w:t>
            </w:r>
            <w:r>
              <w:rPr>
                <w:color w:val="000000" w:themeColor="text1"/>
                <w:szCs w:val="21"/>
                <w14:textFill>
                  <w14:solidFill>
                    <w14:schemeClr w14:val="tx1"/>
                  </w14:solidFill>
                </w14:textFill>
              </w:rPr>
              <w:fldChar w:fldCharType="begin"/>
            </w:r>
            <w:r>
              <w:rPr>
                <w:color w:val="000000" w:themeColor="text1"/>
                <w:szCs w:val="21"/>
                <w14:textFill>
                  <w14:solidFill>
                    <w14:schemeClr w14:val="tx1"/>
                  </w14:solidFill>
                </w14:textFill>
              </w:rPr>
              <w:instrText xml:space="preserve"> HYPERLINK "https://www.chemsrc.com/en/cas/8020-83-5_1198972.html" \t "https://www.chemsrc.com/cas/_blank" </w:instrText>
            </w:r>
            <w:r>
              <w:rPr>
                <w:color w:val="000000" w:themeColor="text1"/>
                <w:szCs w:val="21"/>
                <w14:textFill>
                  <w14:solidFill>
                    <w14:schemeClr w14:val="tx1"/>
                  </w14:solidFill>
                </w14:textFill>
              </w:rPr>
              <w:fldChar w:fldCharType="separate"/>
            </w:r>
            <w:r>
              <w:rPr>
                <w:color w:val="000000" w:themeColor="text1"/>
                <w:szCs w:val="21"/>
                <w14:textFill>
                  <w14:solidFill>
                    <w14:schemeClr w14:val="tx1"/>
                  </w14:solidFill>
                </w14:textFill>
              </w:rPr>
              <w:t>paraffin</w:t>
            </w:r>
            <w:r>
              <w:rPr>
                <w:color w:val="000000" w:themeColor="text1"/>
                <w:szCs w:val="21"/>
                <w14:textFill>
                  <w14:solidFill>
                    <w14:schemeClr w14:val="tx1"/>
                  </w14:solidFill>
                </w14:textFill>
              </w:rPr>
              <w:fldChar w:fldCharType="end"/>
            </w:r>
          </w:p>
        </w:tc>
      </w:tr>
      <w:tr w14:paraId="3083637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30522AFA">
            <w:pPr>
              <w:snapToGrid w:val="0"/>
              <w:jc w:val="center"/>
              <w:rPr>
                <w:color w:val="000000" w:themeColor="text1"/>
                <w:szCs w:val="21"/>
                <w14:textFill>
                  <w14:solidFill>
                    <w14:schemeClr w14:val="tx1"/>
                  </w14:solidFill>
                </w14:textFill>
              </w:rPr>
            </w:pPr>
          </w:p>
        </w:tc>
        <w:tc>
          <w:tcPr>
            <w:tcW w:w="4572" w:type="pct"/>
            <w:gridSpan w:val="3"/>
            <w:tcBorders>
              <w:tl2br w:val="nil"/>
              <w:tr2bl w:val="nil"/>
            </w:tcBorders>
            <w:noWrap w:val="0"/>
            <w:vAlign w:val="center"/>
          </w:tcPr>
          <w:p w14:paraId="6EE120E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危险性类别：可燃液体</w:t>
            </w:r>
          </w:p>
        </w:tc>
      </w:tr>
      <w:tr w14:paraId="589938B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restart"/>
            <w:tcBorders>
              <w:tl2br w:val="nil"/>
              <w:tr2bl w:val="nil"/>
            </w:tcBorders>
            <w:noWrap w:val="0"/>
            <w:vAlign w:val="center"/>
          </w:tcPr>
          <w:p w14:paraId="65D5EC61">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理化</w:t>
            </w:r>
          </w:p>
          <w:p w14:paraId="11E011D4">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性质</w:t>
            </w:r>
          </w:p>
        </w:tc>
        <w:tc>
          <w:tcPr>
            <w:tcW w:w="4572" w:type="pct"/>
            <w:gridSpan w:val="3"/>
            <w:tcBorders>
              <w:tl2br w:val="nil"/>
              <w:tr2bl w:val="nil"/>
            </w:tcBorders>
            <w:noWrap w:val="0"/>
            <w:vAlign w:val="center"/>
          </w:tcPr>
          <w:p w14:paraId="20DAADB8">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外观与性状：无色透明油状黏性液体，室温下无嗅无味或略带异味，对酸、热、光都很稳定。</w:t>
            </w:r>
          </w:p>
        </w:tc>
      </w:tr>
      <w:tr w14:paraId="749A2D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34B6184D">
            <w:pPr>
              <w:snapToGrid w:val="0"/>
              <w:jc w:val="center"/>
              <w:rPr>
                <w:color w:val="000000" w:themeColor="text1"/>
                <w:szCs w:val="21"/>
                <w14:textFill>
                  <w14:solidFill>
                    <w14:schemeClr w14:val="tx1"/>
                  </w14:solidFill>
                </w14:textFill>
              </w:rPr>
            </w:pPr>
          </w:p>
        </w:tc>
        <w:tc>
          <w:tcPr>
            <w:tcW w:w="1956" w:type="pct"/>
            <w:gridSpan w:val="2"/>
            <w:tcBorders>
              <w:tl2br w:val="nil"/>
              <w:tr2bl w:val="nil"/>
            </w:tcBorders>
            <w:noWrap w:val="0"/>
            <w:vAlign w:val="center"/>
          </w:tcPr>
          <w:p w14:paraId="7C007963">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熔点（℃）：-</w:t>
            </w:r>
          </w:p>
        </w:tc>
        <w:tc>
          <w:tcPr>
            <w:tcW w:w="2616" w:type="pct"/>
            <w:tcBorders>
              <w:tl2br w:val="nil"/>
              <w:tr2bl w:val="nil"/>
            </w:tcBorders>
            <w:noWrap w:val="0"/>
            <w:vAlign w:val="center"/>
          </w:tcPr>
          <w:p w14:paraId="4ABC9C2D">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沸点（℃）：-</w:t>
            </w:r>
          </w:p>
        </w:tc>
      </w:tr>
      <w:tr w14:paraId="07F4BA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439B5209">
            <w:pPr>
              <w:snapToGrid w:val="0"/>
              <w:jc w:val="center"/>
              <w:rPr>
                <w:color w:val="000000" w:themeColor="text1"/>
                <w:szCs w:val="21"/>
                <w14:textFill>
                  <w14:solidFill>
                    <w14:schemeClr w14:val="tx1"/>
                  </w14:solidFill>
                </w14:textFill>
              </w:rPr>
            </w:pPr>
          </w:p>
        </w:tc>
        <w:tc>
          <w:tcPr>
            <w:tcW w:w="1956" w:type="pct"/>
            <w:gridSpan w:val="2"/>
            <w:tcBorders>
              <w:tl2br w:val="nil"/>
              <w:tr2bl w:val="nil"/>
            </w:tcBorders>
            <w:noWrap w:val="0"/>
            <w:vAlign w:val="center"/>
          </w:tcPr>
          <w:p w14:paraId="1955B541">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临界温度（℃）：-</w:t>
            </w:r>
          </w:p>
        </w:tc>
        <w:tc>
          <w:tcPr>
            <w:tcW w:w="2616" w:type="pct"/>
            <w:tcBorders>
              <w:tl2br w:val="nil"/>
              <w:tr2bl w:val="nil"/>
            </w:tcBorders>
            <w:noWrap w:val="0"/>
            <w:vAlign w:val="center"/>
          </w:tcPr>
          <w:p w14:paraId="3BC97B3B">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临界压力（MPa）：-</w:t>
            </w:r>
          </w:p>
        </w:tc>
      </w:tr>
      <w:tr w14:paraId="4C271DD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2AB251D1">
            <w:pPr>
              <w:snapToGrid w:val="0"/>
              <w:jc w:val="center"/>
              <w:rPr>
                <w:color w:val="000000" w:themeColor="text1"/>
                <w:szCs w:val="21"/>
                <w14:textFill>
                  <w14:solidFill>
                    <w14:schemeClr w14:val="tx1"/>
                  </w14:solidFill>
                </w14:textFill>
              </w:rPr>
            </w:pPr>
          </w:p>
        </w:tc>
        <w:tc>
          <w:tcPr>
            <w:tcW w:w="1956" w:type="pct"/>
            <w:gridSpan w:val="2"/>
            <w:tcBorders>
              <w:tl2br w:val="nil"/>
              <w:tr2bl w:val="nil"/>
            </w:tcBorders>
            <w:noWrap w:val="0"/>
            <w:vAlign w:val="center"/>
          </w:tcPr>
          <w:p w14:paraId="7FF9DC7F">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饱和蒸气压（KPa）：-</w:t>
            </w:r>
          </w:p>
        </w:tc>
        <w:tc>
          <w:tcPr>
            <w:tcW w:w="2616" w:type="pct"/>
            <w:tcBorders>
              <w:tl2br w:val="nil"/>
              <w:tr2bl w:val="nil"/>
            </w:tcBorders>
            <w:noWrap w:val="0"/>
            <w:vAlign w:val="center"/>
          </w:tcPr>
          <w:p w14:paraId="62AF889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燃烧热 （KJ／mol）：-</w:t>
            </w:r>
          </w:p>
        </w:tc>
      </w:tr>
      <w:tr w14:paraId="599092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1E608B56">
            <w:pPr>
              <w:snapToGrid w:val="0"/>
              <w:jc w:val="center"/>
              <w:rPr>
                <w:color w:val="000000" w:themeColor="text1"/>
                <w:szCs w:val="21"/>
                <w14:textFill>
                  <w14:solidFill>
                    <w14:schemeClr w14:val="tx1"/>
                  </w14:solidFill>
                </w14:textFill>
              </w:rPr>
            </w:pPr>
          </w:p>
        </w:tc>
        <w:tc>
          <w:tcPr>
            <w:tcW w:w="4572" w:type="pct"/>
            <w:gridSpan w:val="3"/>
            <w:tcBorders>
              <w:tl2br w:val="nil"/>
              <w:tr2bl w:val="nil"/>
            </w:tcBorders>
            <w:noWrap w:val="0"/>
            <w:vAlign w:val="center"/>
          </w:tcPr>
          <w:p w14:paraId="7333D5A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密度：0.85g/mLat 20°C</w:t>
            </w:r>
          </w:p>
        </w:tc>
      </w:tr>
      <w:tr w14:paraId="63B9EF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62337C79">
            <w:pPr>
              <w:snapToGrid w:val="0"/>
              <w:jc w:val="center"/>
              <w:rPr>
                <w:color w:val="000000" w:themeColor="text1"/>
                <w:szCs w:val="21"/>
                <w14:textFill>
                  <w14:solidFill>
                    <w14:schemeClr w14:val="tx1"/>
                  </w14:solidFill>
                </w14:textFill>
              </w:rPr>
            </w:pPr>
          </w:p>
        </w:tc>
        <w:tc>
          <w:tcPr>
            <w:tcW w:w="4572" w:type="pct"/>
            <w:gridSpan w:val="3"/>
            <w:tcBorders>
              <w:tl2br w:val="nil"/>
              <w:tr2bl w:val="nil"/>
            </w:tcBorders>
            <w:noWrap w:val="0"/>
            <w:vAlign w:val="center"/>
          </w:tcPr>
          <w:p w14:paraId="461D77D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溶解性：不溶于水、甘油、冷乙醇。溶于热乙醇、二硫化碳、乙醚、酯、氯仿、苯、石油醚。除蓖麻油外,与许多油脂和蜡都能混合</w:t>
            </w:r>
          </w:p>
        </w:tc>
      </w:tr>
      <w:tr w14:paraId="68AEA09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restart"/>
            <w:tcBorders>
              <w:tl2br w:val="nil"/>
              <w:tr2bl w:val="nil"/>
            </w:tcBorders>
            <w:noWrap w:val="0"/>
            <w:vAlign w:val="center"/>
          </w:tcPr>
          <w:p w14:paraId="00ED1F15">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燃烧爆炸危险性</w:t>
            </w:r>
          </w:p>
        </w:tc>
        <w:tc>
          <w:tcPr>
            <w:tcW w:w="4572" w:type="pct"/>
            <w:gridSpan w:val="3"/>
            <w:tcBorders>
              <w:tl2br w:val="nil"/>
              <w:tr2bl w:val="nil"/>
            </w:tcBorders>
            <w:noWrap w:val="0"/>
            <w:vAlign w:val="center"/>
          </w:tcPr>
          <w:p w14:paraId="505D79F3">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燃烧性：本品可燃，具窒息性。</w:t>
            </w:r>
          </w:p>
        </w:tc>
      </w:tr>
      <w:tr w14:paraId="3F66688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403A591E">
            <w:pPr>
              <w:snapToGrid w:val="0"/>
              <w:jc w:val="center"/>
              <w:rPr>
                <w:color w:val="000000" w:themeColor="text1"/>
                <w:szCs w:val="21"/>
                <w14:textFill>
                  <w14:solidFill>
                    <w14:schemeClr w14:val="tx1"/>
                  </w14:solidFill>
                </w14:textFill>
              </w:rPr>
            </w:pPr>
          </w:p>
        </w:tc>
        <w:tc>
          <w:tcPr>
            <w:tcW w:w="1956" w:type="pct"/>
            <w:gridSpan w:val="2"/>
            <w:tcBorders>
              <w:tl2br w:val="nil"/>
              <w:tr2bl w:val="nil"/>
            </w:tcBorders>
            <w:noWrap w:val="0"/>
            <w:vAlign w:val="center"/>
          </w:tcPr>
          <w:p w14:paraId="123302D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引燃温度（℃）：300</w:t>
            </w:r>
          </w:p>
        </w:tc>
        <w:tc>
          <w:tcPr>
            <w:tcW w:w="2616" w:type="pct"/>
            <w:tcBorders>
              <w:tl2br w:val="nil"/>
              <w:tr2bl w:val="nil"/>
            </w:tcBorders>
            <w:noWrap w:val="0"/>
            <w:vAlign w:val="center"/>
          </w:tcPr>
          <w:p w14:paraId="0EEED7D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闪点（℃）：220</w:t>
            </w:r>
          </w:p>
        </w:tc>
      </w:tr>
      <w:tr w14:paraId="6BB14ED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5C3EDB68">
            <w:pPr>
              <w:snapToGrid w:val="0"/>
              <w:jc w:val="center"/>
              <w:rPr>
                <w:color w:val="000000" w:themeColor="text1"/>
                <w:szCs w:val="21"/>
                <w14:textFill>
                  <w14:solidFill>
                    <w14:schemeClr w14:val="tx1"/>
                  </w14:solidFill>
                </w14:textFill>
              </w:rPr>
            </w:pPr>
          </w:p>
        </w:tc>
        <w:tc>
          <w:tcPr>
            <w:tcW w:w="1956" w:type="pct"/>
            <w:gridSpan w:val="2"/>
            <w:tcBorders>
              <w:tl2br w:val="nil"/>
              <w:tr2bl w:val="nil"/>
            </w:tcBorders>
            <w:noWrap w:val="0"/>
            <w:vAlign w:val="center"/>
          </w:tcPr>
          <w:p w14:paraId="1EE8B35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爆炸下限（%）：-</w:t>
            </w:r>
          </w:p>
        </w:tc>
        <w:tc>
          <w:tcPr>
            <w:tcW w:w="2616" w:type="pct"/>
            <w:tcBorders>
              <w:tl2br w:val="nil"/>
              <w:tr2bl w:val="nil"/>
            </w:tcBorders>
            <w:noWrap w:val="0"/>
            <w:vAlign w:val="center"/>
          </w:tcPr>
          <w:p w14:paraId="2C201C2B">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爆炸上限（%）：-</w:t>
            </w:r>
          </w:p>
        </w:tc>
      </w:tr>
      <w:tr w14:paraId="2904407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409F93BD">
            <w:pPr>
              <w:snapToGrid w:val="0"/>
              <w:jc w:val="center"/>
              <w:rPr>
                <w:color w:val="000000" w:themeColor="text1"/>
                <w:szCs w:val="21"/>
                <w14:textFill>
                  <w14:solidFill>
                    <w14:schemeClr w14:val="tx1"/>
                  </w14:solidFill>
                </w14:textFill>
              </w:rPr>
            </w:pPr>
          </w:p>
        </w:tc>
        <w:tc>
          <w:tcPr>
            <w:tcW w:w="1956" w:type="pct"/>
            <w:gridSpan w:val="2"/>
            <w:tcBorders>
              <w:tl2br w:val="nil"/>
              <w:tr2bl w:val="nil"/>
            </w:tcBorders>
            <w:noWrap w:val="0"/>
            <w:vAlign w:val="center"/>
          </w:tcPr>
          <w:p w14:paraId="15BBF4FF">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最小点火能（mj）：-</w:t>
            </w:r>
          </w:p>
        </w:tc>
        <w:tc>
          <w:tcPr>
            <w:tcW w:w="2616" w:type="pct"/>
            <w:tcBorders>
              <w:tl2br w:val="nil"/>
              <w:tr2bl w:val="nil"/>
            </w:tcBorders>
            <w:noWrap w:val="0"/>
            <w:vAlign w:val="center"/>
          </w:tcPr>
          <w:p w14:paraId="3EBCBD0E">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最大爆炸压力（MPa）：-</w:t>
            </w:r>
          </w:p>
        </w:tc>
      </w:tr>
      <w:tr w14:paraId="1705716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19CA86EA">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1846D857">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危险</w:t>
            </w:r>
          </w:p>
          <w:p w14:paraId="162AA54E">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特性</w:t>
            </w:r>
          </w:p>
        </w:tc>
        <w:tc>
          <w:tcPr>
            <w:tcW w:w="4096" w:type="pct"/>
            <w:gridSpan w:val="2"/>
            <w:tcBorders>
              <w:tl2br w:val="nil"/>
              <w:tr2bl w:val="nil"/>
            </w:tcBorders>
            <w:noWrap w:val="0"/>
            <w:vAlign w:val="center"/>
          </w:tcPr>
          <w:p w14:paraId="5C83FCAF">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遇明火、高热可燃</w:t>
            </w:r>
          </w:p>
        </w:tc>
      </w:tr>
      <w:tr w14:paraId="1B14D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1754D1B0">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24E79838">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禁配物</w:t>
            </w:r>
          </w:p>
        </w:tc>
        <w:tc>
          <w:tcPr>
            <w:tcW w:w="4096" w:type="pct"/>
            <w:gridSpan w:val="2"/>
            <w:tcBorders>
              <w:tl2br w:val="nil"/>
              <w:tr2bl w:val="nil"/>
            </w:tcBorders>
            <w:noWrap w:val="0"/>
            <w:vAlign w:val="center"/>
          </w:tcPr>
          <w:p w14:paraId="1E2667CD">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r>
      <w:tr w14:paraId="7A7B7E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104B2E46">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6EEBE6AC">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消防</w:t>
            </w:r>
          </w:p>
          <w:p w14:paraId="4DE181C3">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措施</w:t>
            </w:r>
          </w:p>
        </w:tc>
        <w:tc>
          <w:tcPr>
            <w:tcW w:w="4096" w:type="pct"/>
            <w:gridSpan w:val="2"/>
            <w:tcBorders>
              <w:tl2br w:val="nil"/>
              <w:tr2bl w:val="nil"/>
            </w:tcBorders>
            <w:noWrap w:val="0"/>
            <w:vAlign w:val="center"/>
          </w:tcPr>
          <w:p w14:paraId="305FD10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消防人员须佩戴防毒面具、身穿全身消防服，在上风险灭活。尽可能将容器从火场移至空旷处。喷水保持火场容器冷却，直至灭活结束。处在火场中的容器若已变色或从安全泄压装置中产生声音，必须马上撤离。</w:t>
            </w:r>
          </w:p>
          <w:p w14:paraId="2F4B581D">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灭火剂：雾状水、泡沫、干粉、二氧化碳、砂土。</w:t>
            </w:r>
          </w:p>
        </w:tc>
      </w:tr>
      <w:tr w14:paraId="37A5C16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restart"/>
            <w:tcBorders>
              <w:tl2br w:val="nil"/>
              <w:tr2bl w:val="nil"/>
            </w:tcBorders>
            <w:noWrap w:val="0"/>
            <w:vAlign w:val="center"/>
          </w:tcPr>
          <w:p w14:paraId="7558006E">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毒性</w:t>
            </w:r>
          </w:p>
        </w:tc>
        <w:tc>
          <w:tcPr>
            <w:tcW w:w="475" w:type="pct"/>
            <w:tcBorders>
              <w:tl2br w:val="nil"/>
              <w:tr2bl w:val="nil"/>
            </w:tcBorders>
            <w:noWrap w:val="0"/>
            <w:vAlign w:val="center"/>
          </w:tcPr>
          <w:p w14:paraId="7F2C918D">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急性</w:t>
            </w:r>
          </w:p>
          <w:p w14:paraId="74E2AB11">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毒性</w:t>
            </w:r>
          </w:p>
        </w:tc>
        <w:tc>
          <w:tcPr>
            <w:tcW w:w="4096" w:type="pct"/>
            <w:gridSpan w:val="2"/>
            <w:tcBorders>
              <w:tl2br w:val="nil"/>
              <w:tr2bl w:val="nil"/>
            </w:tcBorders>
            <w:noWrap w:val="0"/>
            <w:vAlign w:val="center"/>
          </w:tcPr>
          <w:p w14:paraId="596C98CB">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LD50 ：无资料。</w:t>
            </w:r>
          </w:p>
          <w:p w14:paraId="03CE67B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LC50 ：无资料</w:t>
            </w:r>
          </w:p>
        </w:tc>
      </w:tr>
      <w:tr w14:paraId="57BAD6F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7CD1131F">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1EB34543">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毒性</w:t>
            </w:r>
          </w:p>
        </w:tc>
        <w:tc>
          <w:tcPr>
            <w:tcW w:w="4096" w:type="pct"/>
            <w:gridSpan w:val="2"/>
            <w:tcBorders>
              <w:tl2br w:val="nil"/>
              <w:tr2bl w:val="nil"/>
            </w:tcBorders>
            <w:noWrap w:val="0"/>
            <w:vAlign w:val="center"/>
          </w:tcPr>
          <w:p w14:paraId="0ACC29A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无资料</w:t>
            </w:r>
          </w:p>
        </w:tc>
      </w:tr>
      <w:tr w14:paraId="7093011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48EA8B64">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0DF6BE37">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健康</w:t>
            </w:r>
          </w:p>
          <w:p w14:paraId="1F9E967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危害</w:t>
            </w:r>
          </w:p>
        </w:tc>
        <w:tc>
          <w:tcPr>
            <w:tcW w:w="4096" w:type="pct"/>
            <w:gridSpan w:val="2"/>
            <w:tcBorders>
              <w:tl2br w:val="nil"/>
              <w:tr2bl w:val="nil"/>
            </w:tcBorders>
            <w:noWrap w:val="0"/>
            <w:vAlign w:val="center"/>
          </w:tcPr>
          <w:p w14:paraId="0D640627">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侵入途径：吸入、食入；</w:t>
            </w:r>
          </w:p>
          <w:p w14:paraId="34BEE77E">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急性吸入，可出现乏力、头晕、头痛、恶心，严重者可引起油脂性肺炎。慢接触者，暴露部位可发生油性痤疮和接触性皮炎。可引起神经衰弱综合症，呼吸道和眼刺激症状及慢性油脂性肺炎。有资料报告，接触石油润滑油类的工人，有致癌的病例报告。</w:t>
            </w:r>
          </w:p>
        </w:tc>
      </w:tr>
      <w:tr w14:paraId="5D5964C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59E87597">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153A06B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防护</w:t>
            </w:r>
          </w:p>
        </w:tc>
        <w:tc>
          <w:tcPr>
            <w:tcW w:w="4096" w:type="pct"/>
            <w:gridSpan w:val="2"/>
            <w:tcBorders>
              <w:tl2br w:val="nil"/>
              <w:tr2bl w:val="nil"/>
            </w:tcBorders>
            <w:noWrap w:val="0"/>
            <w:vAlign w:val="center"/>
          </w:tcPr>
          <w:p w14:paraId="1D7C5344">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工程控制：密闭操作，注意通风；</w:t>
            </w:r>
          </w:p>
          <w:p w14:paraId="3D06C5D5">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呼吸系统防护：空气中浓度超标时，建议佩戴自吸过滤式防毒面具（半面罩）。紧急事态抢救或撤离时，应该佩戴空气呼吸器。</w:t>
            </w:r>
          </w:p>
          <w:p w14:paraId="4CA1BC6E">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眼睛防护：戴化学安全防护眼镜。</w:t>
            </w:r>
          </w:p>
          <w:p w14:paraId="7321D68E">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身体防护：穿防毒物渗透工作服；</w:t>
            </w:r>
          </w:p>
          <w:p w14:paraId="23BAE8B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手防护：戴橡胶耐油手套；</w:t>
            </w:r>
          </w:p>
          <w:p w14:paraId="71D98DB5">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其他：工作现场禁止吸烟。避免长期反复接触。</w:t>
            </w:r>
          </w:p>
        </w:tc>
      </w:tr>
      <w:tr w14:paraId="5BD5B78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vMerge w:val="continue"/>
            <w:tcBorders>
              <w:tl2br w:val="nil"/>
              <w:tr2bl w:val="nil"/>
            </w:tcBorders>
            <w:noWrap w:val="0"/>
            <w:vAlign w:val="center"/>
          </w:tcPr>
          <w:p w14:paraId="3644DF3E">
            <w:pPr>
              <w:snapToGrid w:val="0"/>
              <w:jc w:val="center"/>
              <w:rPr>
                <w:color w:val="000000" w:themeColor="text1"/>
                <w:szCs w:val="21"/>
                <w14:textFill>
                  <w14:solidFill>
                    <w14:schemeClr w14:val="tx1"/>
                  </w14:solidFill>
                </w14:textFill>
              </w:rPr>
            </w:pPr>
          </w:p>
        </w:tc>
        <w:tc>
          <w:tcPr>
            <w:tcW w:w="475" w:type="pct"/>
            <w:tcBorders>
              <w:tl2br w:val="nil"/>
              <w:tr2bl w:val="nil"/>
            </w:tcBorders>
            <w:noWrap w:val="0"/>
            <w:vAlign w:val="center"/>
          </w:tcPr>
          <w:p w14:paraId="03EDD84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急救</w:t>
            </w:r>
          </w:p>
          <w:p w14:paraId="6E916765">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措施</w:t>
            </w:r>
          </w:p>
        </w:tc>
        <w:tc>
          <w:tcPr>
            <w:tcW w:w="4096" w:type="pct"/>
            <w:gridSpan w:val="2"/>
            <w:tcBorders>
              <w:tl2br w:val="nil"/>
              <w:tr2bl w:val="nil"/>
            </w:tcBorders>
            <w:noWrap w:val="0"/>
            <w:vAlign w:val="center"/>
          </w:tcPr>
          <w:p w14:paraId="798A9714">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皮肤接触：立即脱去被污染的衣着，用大量清水冲洗；</w:t>
            </w:r>
          </w:p>
          <w:p w14:paraId="70883B2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眼镜接触：立即提起眼睑，用大量流动清水或生理盐水冲洗，就医；</w:t>
            </w:r>
          </w:p>
          <w:p w14:paraId="791580A2">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吸入：迅速脱离现场至空气新鲜处，保持呼吸道通畅，如呼吸困难，给输氧；如呼吸停止，立即进行人工呼吸，就医；</w:t>
            </w:r>
          </w:p>
          <w:p w14:paraId="742048A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食入：饮足量温水，催吐，就医。</w:t>
            </w:r>
          </w:p>
        </w:tc>
      </w:tr>
      <w:tr w14:paraId="41401EB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tcBorders>
              <w:tl2br w:val="nil"/>
              <w:tr2bl w:val="nil"/>
            </w:tcBorders>
            <w:noWrap w:val="0"/>
            <w:vAlign w:val="center"/>
          </w:tcPr>
          <w:p w14:paraId="49B8F3F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贮运条件</w:t>
            </w:r>
          </w:p>
        </w:tc>
        <w:tc>
          <w:tcPr>
            <w:tcW w:w="4572" w:type="pct"/>
            <w:gridSpan w:val="3"/>
            <w:tcBorders>
              <w:tl2br w:val="nil"/>
              <w:tr2bl w:val="nil"/>
            </w:tcBorders>
            <w:noWrap w:val="0"/>
            <w:vAlign w:val="center"/>
          </w:tcPr>
          <w:p w14:paraId="426C991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储存于阴凉、通风的库房。远离火种、热源。应与氧化剂分开存放，切记混储。配备相应品种和数量的消防器材。出去应备有泄漏应急处理设备和合适的收容材料。</w:t>
            </w:r>
          </w:p>
          <w:p w14:paraId="79D23C9B">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运输前应先检查包装容器是否完整、密封，运输过程中要确保容器不泄漏、不倒塌、不坠落、不损坏。严禁与氧化剂、食用化学品等混装混运。运输车船必须彻底清洗、消毒，否则不得装运其他物品。船运时，配装位置应远离卧室、厨房，并与电源、火源等部位隔离。公路运输时要按规定路线行驶</w:t>
            </w:r>
          </w:p>
        </w:tc>
      </w:tr>
      <w:tr w14:paraId="4B8CBBA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cantSplit/>
          <w:jc w:val="center"/>
        </w:trPr>
        <w:tc>
          <w:tcPr>
            <w:tcW w:w="427" w:type="pct"/>
            <w:tcBorders>
              <w:tl2br w:val="nil"/>
              <w:tr2bl w:val="nil"/>
            </w:tcBorders>
            <w:noWrap w:val="0"/>
            <w:vAlign w:val="center"/>
          </w:tcPr>
          <w:p w14:paraId="3F3DB759">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泄漏应急处理</w:t>
            </w:r>
          </w:p>
        </w:tc>
        <w:tc>
          <w:tcPr>
            <w:tcW w:w="4572" w:type="pct"/>
            <w:gridSpan w:val="3"/>
            <w:tcBorders>
              <w:tl2br w:val="nil"/>
              <w:tr2bl w:val="nil"/>
            </w:tcBorders>
            <w:noWrap w:val="0"/>
            <w:vAlign w:val="center"/>
          </w:tcPr>
          <w:p w14:paraId="3B5AE22A">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迅速撤离泄漏污染区人员至安全区，并进行隔离，严格限制出入。切断火源。建议应急处理人员戴自给正压式呼吸器，穿防毒服。尽可能切断泄漏源。防治流入下水道、排洪沟等限制性空间。</w:t>
            </w:r>
          </w:p>
          <w:p w14:paraId="3E8F24FB">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小量泄漏：用砂土或其他不燃材料吸附或吸收。</w:t>
            </w:r>
          </w:p>
          <w:p w14:paraId="2C691DE7">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大量泄漏：构筑位堤或挖坑收容。用泵转移至槽车或专用收集器内，回收或运至废物处理场所处置</w:t>
            </w:r>
          </w:p>
        </w:tc>
      </w:tr>
    </w:tbl>
    <w:p w14:paraId="6B4E8783">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p>
    <w:p w14:paraId="05724A3A">
      <w:pPr>
        <w:pStyle w:val="16"/>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p>
    <w:p w14:paraId="0E252E3A">
      <w:pPr>
        <w:pStyle w:val="16"/>
        <w:rPr>
          <w:rFonts w:hint="default"/>
          <w:color w:val="000000" w:themeColor="text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（2）松节油</w:t>
      </w:r>
    </w:p>
    <w:p w14:paraId="236C316E">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宋体"/>
          <w:color w:val="000000" w:themeColor="text1"/>
          <w:sz w:val="18"/>
          <w:szCs w:val="18"/>
          <w:lang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公司松脂生产需要松节油，松节油用于溶解松脂，使原料落地松脂中的杂质和松脂分离。松节油是易燃液体，储存或使用不当可能会造成火灾或爆炸。</w:t>
      </w:r>
    </w:p>
    <w:p w14:paraId="6B328380">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default"/>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eastAsia="zh-CN"/>
          <w14:textFill>
            <w14:solidFill>
              <w14:schemeClr w14:val="tx1"/>
            </w14:solidFill>
          </w14:textFill>
        </w:rPr>
        <w:t>表3-</w:t>
      </w:r>
      <w:r>
        <w:rPr>
          <w:rFonts w:hint="eastAsia" w:ascii="宋体" w:hAnsi="宋体" w:cs="宋体"/>
          <w:color w:val="000000" w:themeColor="text1"/>
          <w:sz w:val="21"/>
          <w:szCs w:val="21"/>
          <w:lang w:val="en-US" w:eastAsia="zh-CN"/>
          <w14:textFill>
            <w14:solidFill>
              <w14:schemeClr w14:val="tx1"/>
            </w14:solidFill>
          </w14:textFill>
        </w:rPr>
        <w:t>4</w:t>
      </w:r>
      <w:r>
        <w:rPr>
          <w:rFonts w:hint="eastAsia" w:ascii="宋体" w:hAnsi="宋体" w:eastAsia="宋体" w:cs="宋体"/>
          <w:color w:val="000000" w:themeColor="text1"/>
          <w:sz w:val="21"/>
          <w:szCs w:val="21"/>
          <w:lang w:eastAsia="zh-CN"/>
          <w14:textFill>
            <w14:solidFill>
              <w14:schemeClr w14:val="tx1"/>
            </w14:solidFill>
          </w14:textFill>
        </w:rPr>
        <w:t xml:space="preserve"> </w:t>
      </w:r>
      <w:r>
        <w:rPr>
          <w:rFonts w:hint="eastAsia" w:ascii="宋体" w:hAnsi="宋体" w:eastAsia="宋体" w:cs="宋体"/>
          <w:color w:val="000000" w:themeColor="text1"/>
          <w:sz w:val="21"/>
          <w:szCs w:val="21"/>
          <w:lang w:val="en-US" w:eastAsia="zh-CN"/>
          <w14:textFill>
            <w14:solidFill>
              <w14:schemeClr w14:val="tx1"/>
            </w14:solidFill>
          </w14:textFill>
        </w:rPr>
        <w:t xml:space="preserve"> </w:t>
      </w:r>
      <w:r>
        <w:rPr>
          <w:rFonts w:hint="eastAsia" w:ascii="宋体" w:hAnsi="宋体" w:cs="宋体"/>
          <w:color w:val="000000" w:themeColor="text1"/>
          <w:sz w:val="21"/>
          <w:szCs w:val="21"/>
          <w:lang w:val="en-US" w:eastAsia="zh-CN"/>
          <w14:textFill>
            <w14:solidFill>
              <w14:schemeClr w14:val="tx1"/>
            </w14:solidFill>
          </w14:textFill>
        </w:rPr>
        <w:t>松节油重油</w:t>
      </w:r>
      <w:r>
        <w:rPr>
          <w:rFonts w:hint="eastAsia" w:ascii="宋体" w:hAnsi="宋体" w:eastAsia="宋体" w:cs="宋体"/>
          <w:color w:val="000000" w:themeColor="text1"/>
          <w:sz w:val="21"/>
          <w:szCs w:val="21"/>
          <w:lang w:eastAsia="zh-CN"/>
          <w14:textFill>
            <w14:solidFill>
              <w14:schemeClr w14:val="tx1"/>
            </w14:solidFill>
          </w14:textFill>
        </w:rPr>
        <w:t>的理化性质</w:t>
      </w:r>
    </w:p>
    <w:tbl>
      <w:tblPr>
        <w:tblStyle w:val="23"/>
        <w:tblW w:w="4998"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342"/>
        <w:gridCol w:w="7940"/>
      </w:tblGrid>
      <w:tr w14:paraId="3BD9AC0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PrEx>
        <w:trPr>
          <w:jc w:val="center"/>
        </w:trPr>
        <w:tc>
          <w:tcPr>
            <w:tcW w:w="723" w:type="pct"/>
            <w:noWrap w:val="0"/>
            <w:vAlign w:val="center"/>
          </w:tcPr>
          <w:p w14:paraId="099728BD">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物料名称</w:t>
            </w:r>
          </w:p>
        </w:tc>
        <w:tc>
          <w:tcPr>
            <w:tcW w:w="4276" w:type="pct"/>
            <w:noWrap w:val="0"/>
            <w:vAlign w:val="center"/>
          </w:tcPr>
          <w:p w14:paraId="1522C9F1">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理化性质</w:t>
            </w:r>
          </w:p>
        </w:tc>
      </w:tr>
      <w:tr w14:paraId="7AECA57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jc w:val="center"/>
        </w:trPr>
        <w:tc>
          <w:tcPr>
            <w:tcW w:w="723" w:type="pct"/>
            <w:noWrap w:val="0"/>
            <w:vAlign w:val="center"/>
          </w:tcPr>
          <w:p w14:paraId="62C7BB78">
            <w:pPr>
              <w:snapToGrid w:val="0"/>
              <w:jc w:val="center"/>
              <w:rPr>
                <w:rFonts w:hint="default" w:eastAsia="宋体"/>
                <w:color w:val="000000" w:themeColor="text1"/>
                <w:szCs w:val="21"/>
                <w:lang w:val="en-US" w:eastAsia="zh-CN"/>
                <w14:textFill>
                  <w14:solidFill>
                    <w14:schemeClr w14:val="tx1"/>
                  </w14:solidFill>
                </w14:textFill>
              </w:rPr>
            </w:pPr>
            <w:r>
              <w:rPr>
                <w:color w:val="000000" w:themeColor="text1"/>
                <w:szCs w:val="21"/>
                <w14:textFill>
                  <w14:solidFill>
                    <w14:schemeClr w14:val="tx1"/>
                  </w14:solidFill>
                </w14:textFill>
              </w:rPr>
              <w:t>松节油</w:t>
            </w:r>
            <w:r>
              <w:rPr>
                <w:rFonts w:hint="eastAsia"/>
                <w:color w:val="000000" w:themeColor="text1"/>
                <w:szCs w:val="21"/>
                <w:lang w:val="en-US" w:eastAsia="zh-CN"/>
                <w14:textFill>
                  <w14:solidFill>
                    <w14:schemeClr w14:val="tx1"/>
                  </w14:solidFill>
                </w14:textFill>
              </w:rPr>
              <w:t>重油</w:t>
            </w:r>
          </w:p>
        </w:tc>
        <w:tc>
          <w:tcPr>
            <w:tcW w:w="4276" w:type="pct"/>
            <w:noWrap w:val="0"/>
            <w:vAlign w:val="center"/>
          </w:tcPr>
          <w:p w14:paraId="7BC02E26">
            <w:pPr>
              <w:snapToGrid w:val="0"/>
              <w:jc w:val="center"/>
              <w:rPr>
                <w:color w:val="000000" w:themeColor="text1"/>
                <w:szCs w:val="21"/>
                <w14:textFill>
                  <w14:solidFill>
                    <w14:schemeClr w14:val="tx1"/>
                  </w14:solidFill>
                </w14:textFill>
              </w:rPr>
            </w:pPr>
            <w:r>
              <w:rPr>
                <w:color w:val="000000" w:themeColor="text1"/>
                <w:szCs w:val="21"/>
                <w14:textFill>
                  <w14:solidFill>
                    <w14:schemeClr w14:val="tx1"/>
                  </w14:solidFill>
                </w14:textFill>
              </w:rPr>
              <w:t>松节油重油:是一种淡黄色油状高闪点易燃液体，具有松香气味，比水轻且不溶于水，溶于乙醇、氯仿、醚等多数有机溶剂，其蒸气可与空气形成爆炸性混合物，遇明火、高热能引起燃烧爆炸。健康危害：急性中毒：高浓度蒸气可引起麻醉作用，出现平衡失调、四肢痉挛性抽搐、流涎、头痛、眩晕。可引起膀胱炎，有时有肾损害。还可出现眼及上呼吸道刺激症状。液体溅入眼内，可引起结膜炎及角膜灼伤。密度:相对密度(水=1)0.85～0.87，相对密度(空气=1)4.84 。</w:t>
            </w:r>
          </w:p>
        </w:tc>
      </w:tr>
    </w:tbl>
    <w:p w14:paraId="7FF445C8">
      <w:pPr>
        <w:pStyle w:val="16"/>
        <w:ind w:left="0" w:leftChars="0" w:firstLine="0" w:firstLineChars="0"/>
        <w:rPr>
          <w:rFonts w:hint="eastAsia"/>
          <w:color w:val="000000" w:themeColor="text1"/>
          <w:lang w:val="en-US" w:eastAsia="zh-CN"/>
          <w14:textFill>
            <w14:solidFill>
              <w14:schemeClr w14:val="tx1"/>
            </w14:solidFill>
          </w14:textFill>
        </w:rPr>
      </w:pPr>
    </w:p>
    <w:p w14:paraId="1E791ACB">
      <w:pPr>
        <w:pStyle w:val="16"/>
        <w:keepNext w:val="0"/>
        <w:keepLines w:val="0"/>
        <w:pageBreakBefore w:val="0"/>
        <w:widowControl w:val="0"/>
        <w:numPr>
          <w:ilvl w:val="0"/>
          <w:numId w:val="0"/>
        </w:numPr>
        <w:kinsoku/>
        <w:wordWrap/>
        <w:overflowPunct/>
        <w:topLinePunct w:val="0"/>
        <w:autoSpaceDE/>
        <w:autoSpaceDN/>
        <w:bidi w:val="0"/>
        <w:adjustRightInd/>
        <w:snapToGrid/>
        <w:ind w:firstLine="480" w:firstLineChars="200"/>
        <w:textAlignment w:val="auto"/>
        <w:outlineLvl w:val="9"/>
        <w:rPr>
          <w:rFonts w:hint="eastAsia" w:asciiTheme="minorEastAsia" w:hAnsiTheme="minorEastAsia" w:eastAsiaTheme="minorEastAsia" w:cstheme="minorEastAsia"/>
          <w:color w:val="000000" w:themeColor="text1"/>
          <w:sz w:val="24"/>
          <w:szCs w:val="24"/>
          <w:highlight w:val="none"/>
          <w14:textFill>
            <w14:solidFill>
              <w14:schemeClr w14:val="tx1"/>
            </w14:solidFill>
          </w14:textFill>
        </w:rPr>
      </w:pPr>
      <w:bookmarkStart w:id="101" w:name="_Toc17073"/>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3</w:t>
      </w:r>
      <w:r>
        <w:rPr>
          <w:rFonts w:hint="eastAsia" w:asciiTheme="minorEastAsia" w:hAnsiTheme="minorEastAsia" w:eastAsiaTheme="minorEastAsia" w:cstheme="minorEastAsia"/>
          <w:color w:val="000000" w:themeColor="text1"/>
          <w:sz w:val="24"/>
          <w:szCs w:val="24"/>
          <w:highlight w:val="none"/>
          <w:lang w:eastAsia="zh-CN"/>
          <w14:textFill>
            <w14:solidFill>
              <w14:schemeClr w14:val="tx1"/>
            </w14:solidFill>
          </w14:textFill>
        </w:rPr>
        <w:t>）</w:t>
      </w:r>
      <w:r>
        <w:rPr>
          <w:rFonts w:hint="eastAsia" w:asciiTheme="minorEastAsia" w:hAnsiTheme="minorEastAsia" w:eastAsiaTheme="minorEastAsia" w:cstheme="minorEastAsia"/>
          <w:color w:val="000000" w:themeColor="text1"/>
          <w:sz w:val="24"/>
          <w:szCs w:val="24"/>
          <w:highlight w:val="none"/>
          <w14:textFill>
            <w14:solidFill>
              <w14:schemeClr w14:val="tx1"/>
            </w14:solidFill>
          </w14:textFill>
        </w:rPr>
        <w:t>SO</w:t>
      </w:r>
      <w:r>
        <w:rPr>
          <w:rFonts w:hint="eastAsia" w:asciiTheme="minorEastAsia" w:hAnsiTheme="minorEastAsia" w:eastAsiaTheme="minorEastAsia" w:cstheme="minorEastAsia"/>
          <w:color w:val="000000" w:themeColor="text1"/>
          <w:sz w:val="24"/>
          <w:szCs w:val="24"/>
          <w:highlight w:val="none"/>
          <w:vertAlign w:val="subscript"/>
          <w14:textFill>
            <w14:solidFill>
              <w14:schemeClr w14:val="tx1"/>
            </w14:solidFill>
          </w14:textFill>
        </w:rPr>
        <w:t>2</w:t>
      </w:r>
      <w:r>
        <w:rPr>
          <w:rFonts w:hint="eastAsia" w:asciiTheme="minorEastAsia" w:hAnsiTheme="minorEastAsia" w:eastAsiaTheme="minorEastAsia" w:cstheme="minorEastAsia"/>
          <w:color w:val="000000" w:themeColor="text1"/>
          <w:sz w:val="24"/>
          <w:szCs w:val="24"/>
          <w:highlight w:val="none"/>
          <w14:textFill>
            <w14:solidFill>
              <w14:schemeClr w14:val="tx1"/>
            </w14:solidFill>
          </w14:textFill>
        </w:rPr>
        <w:t>及氮氧化物（NOx）</w:t>
      </w:r>
      <w:bookmarkEnd w:id="101"/>
    </w:p>
    <w:p w14:paraId="7A085997">
      <w:pPr>
        <w:pStyle w:val="16"/>
        <w:ind w:firstLine="480"/>
        <w:rPr>
          <w:rFonts w:hint="default" w:eastAsia="宋体" w:asciiTheme="minorEastAsia" w:hAnsiTheme="minorEastAsia" w:cstheme="minorEastAsia"/>
          <w:color w:val="000000" w:themeColor="text1"/>
          <w:sz w:val="24"/>
          <w:szCs w:val="24"/>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2t/h导热油锅炉燃料燃烧产生二氧化硫和氮氧化物废气，</w:t>
      </w:r>
      <w:r>
        <w:rPr>
          <w:rFonts w:ascii="Times New Roman" w:hAnsi="Times New Roman"/>
          <w:color w:val="000000" w:themeColor="text1"/>
          <w:sz w:val="24"/>
          <w14:textFill>
            <w14:solidFill>
              <w14:schemeClr w14:val="tx1"/>
            </w14:solidFill>
          </w14:textFill>
        </w:rPr>
        <w:t>经“旋风除尘+布袋除尘+水膜除尘”处理后由1根30m高排气筒（DA003）达标排放</w:t>
      </w:r>
      <w:r>
        <w:rPr>
          <w:rFonts w:hint="eastAsia" w:ascii="Times New Roman" w:hAnsi="Times New Roman"/>
          <w:color w:val="000000" w:themeColor="text1"/>
          <w:sz w:val="24"/>
          <w:lang w:eastAsia="zh-CN"/>
          <w14:textFill>
            <w14:solidFill>
              <w14:schemeClr w14:val="tx1"/>
            </w14:solidFill>
          </w14:textFill>
        </w:rPr>
        <w:t>。</w:t>
      </w:r>
      <w:r>
        <w:rPr>
          <w:rFonts w:hint="eastAsia" w:ascii="Times New Roman" w:hAnsi="Times New Roman"/>
          <w:color w:val="000000" w:themeColor="text1"/>
          <w:sz w:val="24"/>
          <w:lang w:val="en-US" w:eastAsia="zh-CN"/>
          <w14:textFill>
            <w14:solidFill>
              <w14:schemeClr w14:val="tx1"/>
            </w14:solidFill>
          </w14:textFill>
        </w:rPr>
        <w:t>除尘装置出现故障时，公司外排污染物会超标或非正常排放，对外环境有一定的危害。</w:t>
      </w:r>
    </w:p>
    <w:p w14:paraId="2CEA4B10">
      <w:pPr>
        <w:ind w:firstLine="0" w:firstLineChars="0"/>
        <w:jc w:val="cente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pPr>
    </w:p>
    <w:p w14:paraId="3A32B8D5">
      <w:pPr>
        <w:ind w:firstLine="0" w:firstLineChars="0"/>
        <w:jc w:val="cente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pPr>
      <w: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t>表3-</w:t>
      </w:r>
      <w:r>
        <w:rPr>
          <w:rFonts w:hint="eastAsia" w:asciiTheme="minorEastAsia" w:hAnsiTheme="minorEastAsia" w:eastAsiaTheme="minorEastAsia" w:cstheme="minorEastAsia"/>
          <w:b w:val="0"/>
          <w:bCs/>
          <w:color w:val="000000" w:themeColor="text1"/>
          <w:sz w:val="21"/>
          <w:szCs w:val="21"/>
          <w:highlight w:val="none"/>
          <w:lang w:val="en-US" w:eastAsia="zh-CN"/>
          <w14:textFill>
            <w14:solidFill>
              <w14:schemeClr w14:val="tx1"/>
            </w14:solidFill>
          </w14:textFill>
        </w:rPr>
        <w:t>5</w:t>
      </w:r>
      <w:r>
        <w:rPr>
          <w:rFonts w:hint="eastAsia" w:asciiTheme="minorEastAsia" w:hAnsiTheme="minorEastAsia" w:eastAsiaTheme="minorEastAsia" w:cstheme="minorEastAsia"/>
          <w:b w:val="0"/>
          <w:bCs/>
          <w:color w:val="000000" w:themeColor="text1"/>
          <w:sz w:val="21"/>
          <w:szCs w:val="21"/>
          <w:highlight w:val="none"/>
          <w14:textFill>
            <w14:solidFill>
              <w14:schemeClr w14:val="tx1"/>
            </w14:solidFill>
          </w14:textFill>
        </w:rPr>
        <w:t xml:space="preserve">  二氧化硫的理化性质</w:t>
      </w:r>
    </w:p>
    <w:tbl>
      <w:tblPr>
        <w:tblStyle w:val="23"/>
        <w:tblW w:w="4999"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Layout w:type="autofit"/>
        <w:tblCellMar>
          <w:top w:w="0" w:type="dxa"/>
          <w:left w:w="0" w:type="dxa"/>
          <w:bottom w:w="0" w:type="dxa"/>
          <w:right w:w="0" w:type="dxa"/>
        </w:tblCellMar>
      </w:tblPr>
      <w:tblGrid>
        <w:gridCol w:w="507"/>
        <w:gridCol w:w="776"/>
        <w:gridCol w:w="8001"/>
      </w:tblGrid>
      <w:tr w14:paraId="46B7173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915" w:hRule="atLeast"/>
          <w:jc w:val="center"/>
        </w:trPr>
        <w:tc>
          <w:tcPr>
            <w:tcW w:w="691" w:type="pct"/>
            <w:gridSpan w:val="2"/>
            <w:tcBorders>
              <w:tl2br w:val="nil"/>
              <w:tr2bl w:val="nil"/>
            </w:tcBorders>
            <w:shd w:val="clear" w:color="auto" w:fill="auto"/>
            <w:noWrap w:val="0"/>
            <w:tcMar>
              <w:top w:w="0" w:type="dxa"/>
              <w:left w:w="108" w:type="dxa"/>
              <w:bottom w:w="0" w:type="dxa"/>
              <w:right w:w="108" w:type="dxa"/>
            </w:tcMar>
            <w:vAlign w:val="center"/>
          </w:tcPr>
          <w:p w14:paraId="6A8EC982">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标识</w:t>
            </w:r>
          </w:p>
        </w:tc>
        <w:tc>
          <w:tcPr>
            <w:tcW w:w="4308" w:type="pct"/>
            <w:tcBorders>
              <w:tl2br w:val="nil"/>
              <w:tr2bl w:val="nil"/>
            </w:tcBorders>
            <w:shd w:val="clear" w:color="auto" w:fill="auto"/>
            <w:noWrap w:val="0"/>
            <w:tcMar>
              <w:top w:w="0" w:type="dxa"/>
              <w:left w:w="108" w:type="dxa"/>
              <w:bottom w:w="0" w:type="dxa"/>
              <w:right w:w="108" w:type="dxa"/>
            </w:tcMar>
            <w:vAlign w:val="center"/>
          </w:tcPr>
          <w:p w14:paraId="2FAC70BD">
            <w:pPr>
              <w:pStyle w:val="47"/>
              <w:keepNext w:val="0"/>
              <w:keepLines w:val="0"/>
              <w:pageBreakBefore w:val="0"/>
              <w:widowControl w:val="0"/>
              <w:kinsoku/>
              <w:wordWrap/>
              <w:overflowPunct/>
              <w:topLinePunct w:val="0"/>
              <w:autoSpaceDE/>
              <w:autoSpaceDN/>
              <w:bidi w:val="0"/>
              <w:adjustRightInd/>
              <w:snapToGrid/>
              <w:spacing w:line="320" w:lineRule="exact"/>
              <w:ind w:firstLine="420" w:firstLineChars="200"/>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二氧化硫；亚硫酸酐；Sulfur dioxide; Sulfur oxide;Sulfurousanhydride;Sulfurousacidanhydride;CAS：7446-09-5，危规：GB2.3类 23013。UNNO.1079。</w:t>
            </w:r>
          </w:p>
        </w:tc>
      </w:tr>
      <w:tr w14:paraId="7C40C65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603" w:hRule="atLeast"/>
          <w:jc w:val="center"/>
        </w:trPr>
        <w:tc>
          <w:tcPr>
            <w:tcW w:w="691" w:type="pct"/>
            <w:gridSpan w:val="2"/>
            <w:tcBorders>
              <w:tl2br w:val="nil"/>
              <w:tr2bl w:val="nil"/>
            </w:tcBorders>
            <w:shd w:val="clear" w:color="auto" w:fill="auto"/>
            <w:noWrap w:val="0"/>
            <w:tcMar>
              <w:top w:w="0" w:type="dxa"/>
              <w:left w:w="108" w:type="dxa"/>
              <w:bottom w:w="0" w:type="dxa"/>
              <w:right w:w="108" w:type="dxa"/>
            </w:tcMar>
            <w:vAlign w:val="center"/>
          </w:tcPr>
          <w:p w14:paraId="2BF0B704">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理化性质</w:t>
            </w:r>
          </w:p>
        </w:tc>
        <w:tc>
          <w:tcPr>
            <w:tcW w:w="4308" w:type="pct"/>
            <w:tcBorders>
              <w:tl2br w:val="nil"/>
              <w:tr2bl w:val="nil"/>
            </w:tcBorders>
            <w:shd w:val="clear" w:color="auto" w:fill="auto"/>
            <w:noWrap w:val="0"/>
            <w:tcMar>
              <w:top w:w="0" w:type="dxa"/>
              <w:left w:w="108" w:type="dxa"/>
              <w:bottom w:w="0" w:type="dxa"/>
              <w:right w:w="108" w:type="dxa"/>
            </w:tcMar>
            <w:vAlign w:val="center"/>
          </w:tcPr>
          <w:p w14:paraId="79C91E5A">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无色气体。有强烈刺激性气味。分子式S-O2。分子量64.07。相对密度 2.264(0℃)。熔点 -72.7℃。沸点-10℃。</w:t>
            </w:r>
          </w:p>
        </w:tc>
      </w:tr>
      <w:tr w14:paraId="7B170AF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892" w:hRule="atLeast"/>
          <w:jc w:val="center"/>
        </w:trPr>
        <w:tc>
          <w:tcPr>
            <w:tcW w:w="273" w:type="pct"/>
            <w:vMerge w:val="restart"/>
            <w:tcBorders>
              <w:tl2br w:val="nil"/>
              <w:tr2bl w:val="nil"/>
            </w:tcBorders>
            <w:shd w:val="clear" w:color="auto" w:fill="auto"/>
            <w:noWrap w:val="0"/>
            <w:tcMar>
              <w:top w:w="0" w:type="dxa"/>
              <w:left w:w="108" w:type="dxa"/>
              <w:bottom w:w="0" w:type="dxa"/>
              <w:right w:w="108" w:type="dxa"/>
            </w:tcMar>
            <w:vAlign w:val="center"/>
          </w:tcPr>
          <w:p w14:paraId="56A6FC75">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危</w:t>
            </w:r>
          </w:p>
          <w:p w14:paraId="01DF3978">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险</w:t>
            </w:r>
          </w:p>
          <w:p w14:paraId="461E6EA5">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特</w:t>
            </w:r>
          </w:p>
          <w:p w14:paraId="590174CA">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性</w:t>
            </w:r>
          </w:p>
        </w:tc>
        <w:tc>
          <w:tcPr>
            <w:tcW w:w="417" w:type="pct"/>
            <w:tcBorders>
              <w:tl2br w:val="nil"/>
              <w:tr2bl w:val="nil"/>
            </w:tcBorders>
            <w:shd w:val="clear" w:color="auto" w:fill="auto"/>
            <w:noWrap w:val="0"/>
            <w:tcMar>
              <w:top w:w="0" w:type="dxa"/>
              <w:left w:w="108" w:type="dxa"/>
              <w:bottom w:w="0" w:type="dxa"/>
              <w:right w:w="108" w:type="dxa"/>
            </w:tcMar>
            <w:vAlign w:val="center"/>
          </w:tcPr>
          <w:p w14:paraId="1268F5A1">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燃烧爆炸危险性</w:t>
            </w:r>
          </w:p>
        </w:tc>
        <w:tc>
          <w:tcPr>
            <w:tcW w:w="4308" w:type="pct"/>
            <w:tcBorders>
              <w:tl2br w:val="nil"/>
              <w:tr2bl w:val="nil"/>
            </w:tcBorders>
            <w:shd w:val="clear" w:color="auto" w:fill="auto"/>
            <w:noWrap w:val="0"/>
            <w:tcMar>
              <w:top w:w="0" w:type="dxa"/>
              <w:left w:w="108" w:type="dxa"/>
              <w:bottom w:w="0" w:type="dxa"/>
              <w:right w:w="108" w:type="dxa"/>
            </w:tcMar>
            <w:vAlign w:val="center"/>
          </w:tcPr>
          <w:p w14:paraId="0551C15B">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蒸气压 338.32kPa(2538mmHg21.11℃)。在水中溶解度 8.5%(25℃)。易溶于甲醇和乙醇; 溶于乙酸、氯仿和乙醚等。潮湿时,对金属有腐蚀作用。不能与下列物质共存:卤素或卤素相互间形成化合物、硝酸锂、金属乙炔化物、金属氧化物、金属、氯酸钾、氢化钠。</w:t>
            </w:r>
          </w:p>
        </w:tc>
      </w:tr>
      <w:tr w14:paraId="57597FB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4040" w:hRule="atLeast"/>
          <w:jc w:val="center"/>
        </w:trPr>
        <w:tc>
          <w:tcPr>
            <w:tcW w:w="273" w:type="pct"/>
            <w:vMerge w:val="continue"/>
            <w:tcBorders>
              <w:tl2br w:val="nil"/>
              <w:tr2bl w:val="nil"/>
            </w:tcBorders>
            <w:shd w:val="clear" w:color="auto" w:fill="FFFFFF"/>
            <w:noWrap w:val="0"/>
            <w:vAlign w:val="center"/>
          </w:tcPr>
          <w:p w14:paraId="7339F131">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p>
        </w:tc>
        <w:tc>
          <w:tcPr>
            <w:tcW w:w="417" w:type="pct"/>
            <w:tcBorders>
              <w:tl2br w:val="nil"/>
              <w:tr2bl w:val="nil"/>
            </w:tcBorders>
            <w:shd w:val="clear" w:color="auto" w:fill="auto"/>
            <w:noWrap w:val="0"/>
            <w:tcMar>
              <w:top w:w="0" w:type="dxa"/>
              <w:left w:w="108" w:type="dxa"/>
              <w:bottom w:w="0" w:type="dxa"/>
              <w:right w:w="108" w:type="dxa"/>
            </w:tcMar>
            <w:vAlign w:val="center"/>
          </w:tcPr>
          <w:p w14:paraId="3AA409B7">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毒性及健康危害性</w:t>
            </w:r>
          </w:p>
        </w:tc>
        <w:tc>
          <w:tcPr>
            <w:tcW w:w="4308" w:type="pct"/>
            <w:tcBorders>
              <w:tl2br w:val="nil"/>
              <w:tr2bl w:val="nil"/>
            </w:tcBorders>
            <w:shd w:val="clear" w:color="auto" w:fill="auto"/>
            <w:noWrap w:val="0"/>
            <w:tcMar>
              <w:top w:w="0" w:type="dxa"/>
              <w:left w:w="108" w:type="dxa"/>
              <w:bottom w:w="0" w:type="dxa"/>
              <w:right w:w="108" w:type="dxa"/>
            </w:tcMar>
            <w:vAlign w:val="center"/>
          </w:tcPr>
          <w:p w14:paraId="00343ADD">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人吸入LCLo:1000ppm/10M;TCLo:3ppm/5D;</w:t>
            </w:r>
          </w:p>
          <w:p w14:paraId="4CF4FE4A">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TCLo:12ppm/1H;LCLo:3000ppm/5M。</w:t>
            </w:r>
          </w:p>
          <w:p w14:paraId="6EC2BA9D">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大鼠吸入LC50:2520ppm/1H。小鼠吸入LC50:3000ppm/30M。</w:t>
            </w:r>
          </w:p>
          <w:p w14:paraId="35B99A07">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SO</w:t>
            </w:r>
            <w:r>
              <w:rPr>
                <w:rFonts w:hint="eastAsia" w:asciiTheme="minorEastAsia" w:hAnsiTheme="minorEastAsia" w:eastAsiaTheme="minorEastAsia" w:cstheme="minorEastAsia"/>
                <w:color w:val="000000" w:themeColor="text1"/>
                <w:kern w:val="2"/>
                <w:sz w:val="21"/>
                <w:szCs w:val="21"/>
                <w:highlight w:val="none"/>
                <w:vertAlign w:val="subscript"/>
                <w:lang w:val="en-US" w:eastAsia="zh-CN"/>
                <w14:textFill>
                  <w14:solidFill>
                    <w14:schemeClr w14:val="tx1"/>
                  </w14:solidFill>
                </w14:textFill>
              </w:rPr>
              <w:t>2</w:t>
            </w: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吸入后,在呼吸道粘膜表面与水作用生成亚硫酸,再经氧化而成硫酸,因此,它对呼吸道粘膜具有强烈的刺激作用。动物试验证明：SO2从呼吸道吸收,在组织中分布量以气管为最高,肺、肺门淋巴结及食道次之,肝、脾、肾较少。同时发现SO2可使动物的呼吸道阻力增加,其原因可能是由于刺激支气管的神经末稍,引起反射性的支气管痉挛;也可能因SO2直接作用于呼吸道平滑肌,使其收缩或因直接刺激作用使细胞坏死,分泌增加。吸入大量高浓度SO2后,可使深部呼吸道和肺组织受损,引起肺部充血、肺水肿或产生反射性喉头痉挛而导致窒息致死。SO2还能与血液中的硫胺素结合破坏酶的过程,导致糖及蛋白质的代谢障碍,从而引起脑、肝、脾等组织发生退行性变。</w:t>
            </w:r>
          </w:p>
        </w:tc>
      </w:tr>
      <w:tr w14:paraId="6A41840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653" w:hRule="atLeast"/>
          <w:jc w:val="center"/>
        </w:trPr>
        <w:tc>
          <w:tcPr>
            <w:tcW w:w="273" w:type="pct"/>
            <w:vMerge w:val="restart"/>
            <w:tcBorders>
              <w:tl2br w:val="nil"/>
              <w:tr2bl w:val="nil"/>
            </w:tcBorders>
            <w:shd w:val="clear" w:color="auto" w:fill="auto"/>
            <w:noWrap w:val="0"/>
            <w:tcMar>
              <w:top w:w="0" w:type="dxa"/>
              <w:left w:w="108" w:type="dxa"/>
              <w:bottom w:w="0" w:type="dxa"/>
              <w:right w:w="108" w:type="dxa"/>
            </w:tcMar>
            <w:vAlign w:val="center"/>
          </w:tcPr>
          <w:p w14:paraId="2606163D">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应急措施</w:t>
            </w:r>
          </w:p>
        </w:tc>
        <w:tc>
          <w:tcPr>
            <w:tcW w:w="417" w:type="pct"/>
            <w:tcBorders>
              <w:tl2br w:val="nil"/>
              <w:tr2bl w:val="nil"/>
            </w:tcBorders>
            <w:shd w:val="clear" w:color="auto" w:fill="auto"/>
            <w:noWrap w:val="0"/>
            <w:tcMar>
              <w:top w:w="0" w:type="dxa"/>
              <w:left w:w="108" w:type="dxa"/>
              <w:bottom w:w="0" w:type="dxa"/>
              <w:right w:w="108" w:type="dxa"/>
            </w:tcMar>
            <w:vAlign w:val="center"/>
          </w:tcPr>
          <w:p w14:paraId="49A531A3">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灭火措施</w:t>
            </w:r>
          </w:p>
        </w:tc>
        <w:tc>
          <w:tcPr>
            <w:tcW w:w="4308" w:type="pct"/>
            <w:tcBorders>
              <w:tl2br w:val="nil"/>
              <w:tr2bl w:val="nil"/>
            </w:tcBorders>
            <w:shd w:val="clear" w:color="auto" w:fill="auto"/>
            <w:noWrap w:val="0"/>
            <w:tcMar>
              <w:top w:w="0" w:type="dxa"/>
              <w:left w:w="108" w:type="dxa"/>
              <w:bottom w:w="0" w:type="dxa"/>
              <w:right w:w="108" w:type="dxa"/>
            </w:tcMar>
            <w:vAlign w:val="center"/>
          </w:tcPr>
          <w:p w14:paraId="085C2B26">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消防人员必须穿戴全身防护服、佩带正压供气式呼吸器，方可关闭钢瓶阀门，以杀灭火势。用水冷却火场中的钢瓶，并应迅速将钢瓶转移至安全地带。</w:t>
            </w:r>
          </w:p>
        </w:tc>
      </w:tr>
      <w:tr w14:paraId="5D4D61E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90" w:hRule="atLeast"/>
          <w:jc w:val="center"/>
        </w:trPr>
        <w:tc>
          <w:tcPr>
            <w:tcW w:w="273" w:type="pct"/>
            <w:vMerge w:val="continue"/>
            <w:tcBorders>
              <w:tl2br w:val="nil"/>
              <w:tr2bl w:val="nil"/>
            </w:tcBorders>
            <w:shd w:val="clear" w:color="auto" w:fill="FFFFFF"/>
            <w:noWrap w:val="0"/>
            <w:vAlign w:val="center"/>
          </w:tcPr>
          <w:p w14:paraId="1D97F022">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p>
        </w:tc>
        <w:tc>
          <w:tcPr>
            <w:tcW w:w="417" w:type="pct"/>
            <w:tcBorders>
              <w:tl2br w:val="nil"/>
              <w:tr2bl w:val="nil"/>
            </w:tcBorders>
            <w:shd w:val="clear" w:color="auto" w:fill="auto"/>
            <w:noWrap w:val="0"/>
            <w:tcMar>
              <w:top w:w="0" w:type="dxa"/>
              <w:left w:w="108" w:type="dxa"/>
              <w:bottom w:w="0" w:type="dxa"/>
              <w:right w:w="108" w:type="dxa"/>
            </w:tcMar>
            <w:vAlign w:val="center"/>
          </w:tcPr>
          <w:p w14:paraId="7A8793E8">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急救措施</w:t>
            </w:r>
          </w:p>
        </w:tc>
        <w:tc>
          <w:tcPr>
            <w:tcW w:w="4308" w:type="pct"/>
            <w:tcBorders>
              <w:tl2br w:val="nil"/>
              <w:tr2bl w:val="nil"/>
            </w:tcBorders>
            <w:shd w:val="clear" w:color="auto" w:fill="auto"/>
            <w:noWrap w:val="0"/>
            <w:tcMar>
              <w:top w:w="0" w:type="dxa"/>
              <w:left w:w="108" w:type="dxa"/>
              <w:bottom w:w="0" w:type="dxa"/>
              <w:right w:w="108" w:type="dxa"/>
            </w:tcMar>
            <w:vAlign w:val="center"/>
          </w:tcPr>
          <w:p w14:paraId="35812D93">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迅速将患者移离中毒现场至通风处,松开衣领,注意保暖、安静,观察病情变化。对有紫绀缺氧现象患者,应立即输氧,保持呼吸道通畅,如有分泌物应立即吸取。如发现喉头水肿痉挛和堵塞呼吸道时,应立即作气管切开。</w:t>
            </w:r>
          </w:p>
          <w:p w14:paraId="02EAFF59">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对呼吸道刺激,可给2～5％碳酸氢钠溶液雾化吸入,每日三次,每次10分钟。</w:t>
            </w:r>
          </w:p>
          <w:p w14:paraId="6297F3AA">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防治肺水肿,宜根据病情,及早、适量、短期应用糖皮质激素;合理应用抗生素以防治继发感染。</w:t>
            </w:r>
          </w:p>
          <w:p w14:paraId="4C677C59">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眼损伤,用大量生理盐水或温水冲洗,滴入醋酸可的松溶液和抗生素,如有角膜损伤者,应由眼科及早处理。</w:t>
            </w:r>
          </w:p>
        </w:tc>
      </w:tr>
      <w:tr w14:paraId="4EC2872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399" w:hRule="atLeast"/>
          <w:jc w:val="center"/>
        </w:trPr>
        <w:tc>
          <w:tcPr>
            <w:tcW w:w="691" w:type="pct"/>
            <w:gridSpan w:val="2"/>
            <w:tcBorders>
              <w:tl2br w:val="nil"/>
              <w:tr2bl w:val="nil"/>
            </w:tcBorders>
            <w:shd w:val="clear" w:color="auto" w:fill="auto"/>
            <w:noWrap w:val="0"/>
            <w:tcMar>
              <w:top w:w="0" w:type="dxa"/>
              <w:left w:w="108" w:type="dxa"/>
              <w:bottom w:w="0" w:type="dxa"/>
              <w:right w:w="108" w:type="dxa"/>
            </w:tcMar>
            <w:vAlign w:val="center"/>
          </w:tcPr>
          <w:p w14:paraId="28A60752">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泄露处理</w:t>
            </w:r>
          </w:p>
        </w:tc>
        <w:tc>
          <w:tcPr>
            <w:tcW w:w="4308" w:type="pct"/>
            <w:tcBorders>
              <w:tl2br w:val="nil"/>
              <w:tr2bl w:val="nil"/>
            </w:tcBorders>
            <w:shd w:val="clear" w:color="auto" w:fill="auto"/>
            <w:noWrap w:val="0"/>
            <w:tcMar>
              <w:top w:w="0" w:type="dxa"/>
              <w:left w:w="108" w:type="dxa"/>
              <w:bottom w:w="0" w:type="dxa"/>
              <w:right w:w="108" w:type="dxa"/>
            </w:tcMar>
            <w:vAlign w:val="center"/>
          </w:tcPr>
          <w:p w14:paraId="4E032AF3">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对泄漏物处理必须穿戴氧气防毒面具。残余气体或钢瓶泄漏出的气体用排风机排送至水洗塔或与塔相连的通风橱内。</w:t>
            </w:r>
          </w:p>
        </w:tc>
      </w:tr>
      <w:tr w14:paraId="0C4C352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shd w:val="clear" w:color="auto" w:fill="FFFFFF"/>
          <w:tblCellMar>
            <w:top w:w="0" w:type="dxa"/>
            <w:left w:w="0" w:type="dxa"/>
            <w:bottom w:w="0" w:type="dxa"/>
            <w:right w:w="0" w:type="dxa"/>
          </w:tblCellMar>
        </w:tblPrEx>
        <w:trPr>
          <w:trHeight w:val="180" w:hRule="atLeast"/>
          <w:jc w:val="center"/>
        </w:trPr>
        <w:tc>
          <w:tcPr>
            <w:tcW w:w="691" w:type="pct"/>
            <w:gridSpan w:val="2"/>
            <w:tcBorders>
              <w:tl2br w:val="nil"/>
              <w:tr2bl w:val="nil"/>
            </w:tcBorders>
            <w:shd w:val="clear" w:color="auto" w:fill="auto"/>
            <w:noWrap w:val="0"/>
            <w:tcMar>
              <w:top w:w="0" w:type="dxa"/>
              <w:left w:w="108" w:type="dxa"/>
              <w:bottom w:w="0" w:type="dxa"/>
              <w:right w:w="108" w:type="dxa"/>
            </w:tcMar>
            <w:vAlign w:val="center"/>
          </w:tcPr>
          <w:p w14:paraId="5558A9F3">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包装与储运</w:t>
            </w:r>
          </w:p>
        </w:tc>
        <w:tc>
          <w:tcPr>
            <w:tcW w:w="4308" w:type="pct"/>
            <w:tcBorders>
              <w:tl2br w:val="nil"/>
              <w:tr2bl w:val="nil"/>
            </w:tcBorders>
            <w:shd w:val="clear" w:color="auto" w:fill="auto"/>
            <w:noWrap w:val="0"/>
            <w:tcMar>
              <w:top w:w="0" w:type="dxa"/>
              <w:left w:w="108" w:type="dxa"/>
              <w:bottom w:w="0" w:type="dxa"/>
              <w:right w:w="108" w:type="dxa"/>
            </w:tcMar>
            <w:vAlign w:val="center"/>
          </w:tcPr>
          <w:p w14:paraId="00B9C509">
            <w:pPr>
              <w:pStyle w:val="47"/>
              <w:keepNext w:val="0"/>
              <w:keepLines w:val="0"/>
              <w:pageBreakBefore w:val="0"/>
              <w:widowControl w:val="0"/>
              <w:kinsoku/>
              <w:wordWrap/>
              <w:overflowPunct/>
              <w:topLinePunct w:val="0"/>
              <w:autoSpaceDE/>
              <w:autoSpaceDN/>
              <w:bidi w:val="0"/>
              <w:adjustRightInd/>
              <w:snapToGrid/>
              <w:spacing w:line="320" w:lineRule="exact"/>
              <w:jc w:val="both"/>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包装标志：有毒气体。包装方法：高压钢瓶。储运条件：储存于通风良好不燃材料结构的库房。避免容器受日光直晒或受热。平时检查钢瓶是否漏气。搬运时钢瓶须戴安全帽及防震橡皮圈，防止撞击和剧烈震动，避免容器受损。与有机物、可燃物、氧化剂和其他可燃物质隔离储运。</w:t>
            </w:r>
          </w:p>
        </w:tc>
      </w:tr>
    </w:tbl>
    <w:p w14:paraId="169AAFFF">
      <w:pPr>
        <w:spacing w:line="240" w:lineRule="auto"/>
        <w:ind w:firstLine="0" w:firstLineChars="0"/>
        <w:jc w:val="both"/>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pPr>
    </w:p>
    <w:p w14:paraId="7034FFF2">
      <w:pPr>
        <w:spacing w:line="240" w:lineRule="auto"/>
        <w:ind w:firstLine="0" w:firstLineChars="0"/>
        <w:jc w:val="center"/>
        <w:rPr>
          <w:rFonts w:hint="eastAsia" w:asciiTheme="minorEastAsia" w:hAnsiTheme="minorEastAsia" w:eastAsiaTheme="minorEastAsia" w:cstheme="minorEastAsia"/>
          <w:b/>
          <w:color w:val="000000" w:themeColor="text1"/>
          <w:sz w:val="24"/>
          <w:szCs w:val="24"/>
          <w:highlight w:val="none"/>
          <w14:textFill>
            <w14:solidFill>
              <w14:schemeClr w14:val="tx1"/>
            </w14:solidFill>
          </w14:textFill>
        </w:rPr>
      </w:pPr>
    </w:p>
    <w:bookmarkEnd w:id="99"/>
    <w:p w14:paraId="096FBD13">
      <w:pPr>
        <w:pStyle w:val="16"/>
        <w:numPr>
          <w:ilvl w:val="0"/>
          <w:numId w:val="0"/>
        </w:numPr>
        <w:ind w:left="240" w:leftChars="0"/>
        <w:outlineLvl w:val="9"/>
        <w:rPr>
          <w:rFonts w:hint="default"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pPr>
      <w:bookmarkStart w:id="102" w:name="_Toc15353"/>
      <w:bookmarkStart w:id="103" w:name="_Toc10911"/>
      <w:bookmarkStart w:id="104" w:name="_Toc10313"/>
      <w:bookmarkStart w:id="105" w:name="_Toc25053"/>
      <w:bookmarkStart w:id="106" w:name="_Toc24139"/>
      <w:bookmarkStart w:id="107" w:name="_Toc13611"/>
      <w:bookmarkStart w:id="108" w:name="_Toc488779605"/>
      <w:bookmarkStart w:id="109" w:name="_Toc27728"/>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（4）</w:t>
      </w:r>
      <w:bookmarkEnd w:id="102"/>
      <w:r>
        <w:rPr>
          <w:rFonts w:hint="eastAsia" w:asciiTheme="minorEastAsia" w:hAnsiTheme="minorEastAsia" w:eastAsiaTheme="minorEastAsia" w:cstheme="minorEastAsia"/>
          <w:color w:val="000000" w:themeColor="text1"/>
          <w:sz w:val="24"/>
          <w:szCs w:val="24"/>
          <w:highlight w:val="none"/>
          <w:lang w:val="en-US" w:eastAsia="zh-CN"/>
          <w14:textFill>
            <w14:solidFill>
              <w14:schemeClr w14:val="tx1"/>
            </w14:solidFill>
          </w14:textFill>
        </w:rPr>
        <w:t>导热油</w:t>
      </w:r>
    </w:p>
    <w:p w14:paraId="0ECD1738">
      <w:pPr>
        <w:keepNext w:val="0"/>
        <w:keepLines w:val="0"/>
        <w:pageBreakBefore w:val="0"/>
        <w:widowControl w:val="0"/>
        <w:kinsoku/>
        <w:wordWrap/>
        <w:overflowPunct/>
        <w:topLinePunct w:val="0"/>
        <w:autoSpaceDE/>
        <w:autoSpaceDN/>
        <w:bidi w:val="0"/>
        <w:adjustRightInd/>
        <w:snapToGrid/>
        <w:spacing w:line="240" w:lineRule="atLeast"/>
        <w:ind w:firstLine="480" w:firstLineChars="200"/>
        <w:jc w:val="left"/>
        <w:textAlignment w:val="auto"/>
        <w:rPr>
          <w:rFonts w:hint="default"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公司生物质导热油锅炉需要用到导热油，锅炉故障可能导致导热油泄露，存在环境污染风险。</w:t>
      </w:r>
    </w:p>
    <w:p w14:paraId="1D9986BA">
      <w:pPr>
        <w:keepNext w:val="0"/>
        <w:keepLines w:val="0"/>
        <w:pageBreakBefore w:val="0"/>
        <w:widowControl w:val="0"/>
        <w:kinsoku/>
        <w:wordWrap/>
        <w:overflowPunct/>
        <w:topLinePunct w:val="0"/>
        <w:autoSpaceDE/>
        <w:autoSpaceDN/>
        <w:bidi w:val="0"/>
        <w:adjustRightInd/>
        <w:snapToGrid/>
        <w:spacing w:line="240" w:lineRule="atLeast"/>
        <w:ind w:firstLine="0" w:firstLineChars="0"/>
        <w:jc w:val="center"/>
        <w:textAlignment w:val="auto"/>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表3-6   导热油理化性质</w:t>
      </w:r>
    </w:p>
    <w:tbl>
      <w:tblPr>
        <w:tblStyle w:val="24"/>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938"/>
        <w:gridCol w:w="382"/>
        <w:gridCol w:w="2322"/>
        <w:gridCol w:w="2321"/>
        <w:gridCol w:w="2323"/>
      </w:tblGrid>
      <w:tr w14:paraId="5EDCA2A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321" w:type="dxa"/>
            <w:gridSpan w:val="2"/>
            <w:tcBorders>
              <w:tl2br w:val="nil"/>
              <w:tr2bl w:val="nil"/>
            </w:tcBorders>
          </w:tcPr>
          <w:p w14:paraId="1DC30683">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bookmarkStart w:id="110" w:name="_Toc26075"/>
            <w:bookmarkStart w:id="111" w:name="_Toc12200"/>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化学产品中文名称</w:t>
            </w:r>
          </w:p>
        </w:tc>
        <w:tc>
          <w:tcPr>
            <w:tcW w:w="6966" w:type="dxa"/>
            <w:gridSpan w:val="3"/>
            <w:tcBorders>
              <w:tl2br w:val="nil"/>
              <w:tr2bl w:val="nil"/>
            </w:tcBorders>
          </w:tcPr>
          <w:p w14:paraId="7C6CDF5A">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导热油（32#）</w:t>
            </w:r>
          </w:p>
        </w:tc>
      </w:tr>
      <w:tr w14:paraId="4306CA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75876FB6">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理化性质</w:t>
            </w:r>
          </w:p>
        </w:tc>
      </w:tr>
      <w:tr w14:paraId="15FC1FB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321" w:type="dxa"/>
            <w:gridSpan w:val="2"/>
            <w:tcBorders>
              <w:tl2br w:val="nil"/>
              <w:tr2bl w:val="nil"/>
            </w:tcBorders>
          </w:tcPr>
          <w:p w14:paraId="42AB86CB">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外观与性质</w:t>
            </w:r>
          </w:p>
        </w:tc>
        <w:tc>
          <w:tcPr>
            <w:tcW w:w="6966" w:type="dxa"/>
            <w:gridSpan w:val="3"/>
            <w:tcBorders>
              <w:tl2br w:val="nil"/>
              <w:tr2bl w:val="nil"/>
            </w:tcBorders>
          </w:tcPr>
          <w:p w14:paraId="553948D9">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琥珀色温室下液体</w:t>
            </w:r>
          </w:p>
        </w:tc>
      </w:tr>
      <w:tr w14:paraId="3C07115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321" w:type="dxa"/>
            <w:gridSpan w:val="2"/>
            <w:tcBorders>
              <w:tl2br w:val="nil"/>
              <w:tr2bl w:val="nil"/>
            </w:tcBorders>
          </w:tcPr>
          <w:p w14:paraId="44184176">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气味</w:t>
            </w:r>
          </w:p>
        </w:tc>
        <w:tc>
          <w:tcPr>
            <w:tcW w:w="2322" w:type="dxa"/>
            <w:tcBorders>
              <w:tl2br w:val="nil"/>
              <w:tr2bl w:val="nil"/>
            </w:tcBorders>
          </w:tcPr>
          <w:p w14:paraId="793445E1">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矿物油特性</w:t>
            </w:r>
          </w:p>
        </w:tc>
        <w:tc>
          <w:tcPr>
            <w:tcW w:w="2321" w:type="dxa"/>
            <w:tcBorders>
              <w:tl2br w:val="nil"/>
              <w:tr2bl w:val="nil"/>
            </w:tcBorders>
          </w:tcPr>
          <w:p w14:paraId="3644C65A">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初沸点及沸程</w:t>
            </w:r>
          </w:p>
        </w:tc>
        <w:tc>
          <w:tcPr>
            <w:tcW w:w="2323" w:type="dxa"/>
            <w:tcBorders>
              <w:tl2br w:val="nil"/>
              <w:tr2bl w:val="nil"/>
            </w:tcBorders>
          </w:tcPr>
          <w:p w14:paraId="19D24757">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＞280℃</w:t>
            </w:r>
          </w:p>
        </w:tc>
      </w:tr>
      <w:tr w14:paraId="6BE781D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321" w:type="dxa"/>
            <w:gridSpan w:val="2"/>
            <w:tcBorders>
              <w:tl2br w:val="nil"/>
              <w:tr2bl w:val="nil"/>
            </w:tcBorders>
          </w:tcPr>
          <w:p w14:paraId="781526DB">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闪点</w:t>
            </w:r>
          </w:p>
        </w:tc>
        <w:tc>
          <w:tcPr>
            <w:tcW w:w="2322" w:type="dxa"/>
            <w:tcBorders>
              <w:tl2br w:val="nil"/>
              <w:tr2bl w:val="nil"/>
            </w:tcBorders>
          </w:tcPr>
          <w:p w14:paraId="57114502">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216℃</w:t>
            </w:r>
          </w:p>
        </w:tc>
        <w:tc>
          <w:tcPr>
            <w:tcW w:w="2321" w:type="dxa"/>
            <w:tcBorders>
              <w:tl2br w:val="nil"/>
              <w:tr2bl w:val="nil"/>
            </w:tcBorders>
          </w:tcPr>
          <w:p w14:paraId="7939F0F5">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燃烧上下极限</w:t>
            </w:r>
          </w:p>
        </w:tc>
        <w:tc>
          <w:tcPr>
            <w:tcW w:w="2323" w:type="dxa"/>
            <w:tcBorders>
              <w:tl2br w:val="nil"/>
              <w:tr2bl w:val="nil"/>
            </w:tcBorders>
          </w:tcPr>
          <w:p w14:paraId="110BFAF5">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1%-10%（V）</w:t>
            </w:r>
          </w:p>
        </w:tc>
      </w:tr>
      <w:tr w14:paraId="277071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321" w:type="dxa"/>
            <w:gridSpan w:val="2"/>
            <w:tcBorders>
              <w:tl2br w:val="nil"/>
              <w:tr2bl w:val="nil"/>
            </w:tcBorders>
          </w:tcPr>
          <w:p w14:paraId="6723BF85">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蒸汽密度（空气=1）</w:t>
            </w:r>
          </w:p>
        </w:tc>
        <w:tc>
          <w:tcPr>
            <w:tcW w:w="2322" w:type="dxa"/>
            <w:tcBorders>
              <w:tl2br w:val="nil"/>
              <w:tr2bl w:val="nil"/>
            </w:tcBorders>
          </w:tcPr>
          <w:p w14:paraId="5C4D6F30">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＞1</w:t>
            </w:r>
          </w:p>
        </w:tc>
        <w:tc>
          <w:tcPr>
            <w:tcW w:w="2321" w:type="dxa"/>
            <w:tcBorders>
              <w:tl2br w:val="nil"/>
              <w:tr2bl w:val="nil"/>
            </w:tcBorders>
          </w:tcPr>
          <w:p w14:paraId="601D699C">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密度</w:t>
            </w:r>
          </w:p>
        </w:tc>
        <w:tc>
          <w:tcPr>
            <w:tcW w:w="2323" w:type="dxa"/>
            <w:tcBorders>
              <w:tl2br w:val="nil"/>
              <w:tr2bl w:val="nil"/>
            </w:tcBorders>
          </w:tcPr>
          <w:p w14:paraId="3D2B9682">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890kg/m³（20℃）</w:t>
            </w:r>
          </w:p>
        </w:tc>
      </w:tr>
      <w:tr w14:paraId="35AAF04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321" w:type="dxa"/>
            <w:gridSpan w:val="2"/>
            <w:tcBorders>
              <w:tl2br w:val="nil"/>
              <w:tr2bl w:val="nil"/>
            </w:tcBorders>
          </w:tcPr>
          <w:p w14:paraId="52A816A0">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自然温度</w:t>
            </w:r>
          </w:p>
        </w:tc>
        <w:tc>
          <w:tcPr>
            <w:tcW w:w="6966" w:type="dxa"/>
            <w:gridSpan w:val="3"/>
            <w:tcBorders>
              <w:tl2br w:val="nil"/>
              <w:tr2bl w:val="nil"/>
            </w:tcBorders>
          </w:tcPr>
          <w:p w14:paraId="398AFCDC">
            <w:pPr>
              <w:pStyle w:val="47"/>
              <w:keepNext w:val="0"/>
              <w:keepLines w:val="0"/>
              <w:pageBreakBefore w:val="0"/>
              <w:widowControl w:val="0"/>
              <w:kinsoku/>
              <w:wordWrap/>
              <w:overflowPunct/>
              <w:topLinePunct w:val="0"/>
              <w:autoSpaceDE/>
              <w:autoSpaceDN/>
              <w:bidi w:val="0"/>
              <w:adjustRightInd/>
              <w:snapToGrid/>
              <w:spacing w:line="320" w:lineRule="exac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＞320℃</w:t>
            </w:r>
          </w:p>
        </w:tc>
      </w:tr>
      <w:tr w14:paraId="11C29EE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6A447F01">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危险性概述</w:t>
            </w:r>
          </w:p>
        </w:tc>
      </w:tr>
      <w:tr w14:paraId="109E61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60074D12">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在正常条件下使用不应会成为健康危险源。</w:t>
            </w:r>
          </w:p>
          <w:p w14:paraId="0540E7CD">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长期或持续接触皮肤，而不适当清洗，可能会阻塞皮肤毛孔，导致油脂性粉刺疾病。</w:t>
            </w:r>
          </w:p>
          <w:p w14:paraId="697B5B6B">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用过的油可能包含有害杂质。</w:t>
            </w:r>
          </w:p>
        </w:tc>
      </w:tr>
      <w:tr w14:paraId="0F520D5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73AE2779">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未被评为可燃物，但会燃烧</w:t>
            </w:r>
          </w:p>
        </w:tc>
      </w:tr>
      <w:tr w14:paraId="48514C8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015102A6">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未归类为环境有害物</w:t>
            </w:r>
          </w:p>
        </w:tc>
      </w:tr>
      <w:tr w14:paraId="1B2B484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48DC8703">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消防措施</w:t>
            </w:r>
          </w:p>
        </w:tc>
      </w:tr>
      <w:tr w14:paraId="40AEAFC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39" w:type="dxa"/>
            <w:tcBorders>
              <w:tl2br w:val="nil"/>
              <w:tr2bl w:val="nil"/>
            </w:tcBorders>
          </w:tcPr>
          <w:p w14:paraId="594DE504">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特定的危险</w:t>
            </w:r>
          </w:p>
        </w:tc>
        <w:tc>
          <w:tcPr>
            <w:tcW w:w="7348" w:type="dxa"/>
            <w:gridSpan w:val="4"/>
            <w:tcBorders>
              <w:tl2br w:val="nil"/>
              <w:tr2bl w:val="nil"/>
            </w:tcBorders>
          </w:tcPr>
          <w:p w14:paraId="40BA53CD">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危险燃烧物品可能包括：气载固体与液体微粒及气体（烟）的复杂混合物。一氧化碳。未被识别的有机物、无机化合物。</w:t>
            </w:r>
          </w:p>
        </w:tc>
      </w:tr>
      <w:tr w14:paraId="00416C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39" w:type="dxa"/>
            <w:tcBorders>
              <w:tl2br w:val="nil"/>
              <w:tr2bl w:val="nil"/>
            </w:tcBorders>
          </w:tcPr>
          <w:p w14:paraId="2D1A43F0">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适当的灭火介质</w:t>
            </w:r>
          </w:p>
        </w:tc>
        <w:tc>
          <w:tcPr>
            <w:tcW w:w="7348" w:type="dxa"/>
            <w:gridSpan w:val="4"/>
            <w:tcBorders>
              <w:tl2br w:val="nil"/>
              <w:tr2bl w:val="nil"/>
            </w:tcBorders>
          </w:tcPr>
          <w:p w14:paraId="720ED568">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泡沫，洒水或喷雾。干化学灭火粉、二氧化碳、沙或泥土仅宜用于小规模火灾。</w:t>
            </w:r>
          </w:p>
        </w:tc>
      </w:tr>
      <w:tr w14:paraId="4BD39E6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39" w:type="dxa"/>
            <w:tcBorders>
              <w:tl2br w:val="nil"/>
              <w:tr2bl w:val="nil"/>
            </w:tcBorders>
          </w:tcPr>
          <w:p w14:paraId="28A2FF66">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不适用的灭火物</w:t>
            </w:r>
          </w:p>
        </w:tc>
        <w:tc>
          <w:tcPr>
            <w:tcW w:w="7348" w:type="dxa"/>
            <w:gridSpan w:val="4"/>
            <w:tcBorders>
              <w:tl2br w:val="nil"/>
              <w:tr2bl w:val="nil"/>
            </w:tcBorders>
          </w:tcPr>
          <w:p w14:paraId="04F5B1B9">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切勿喷水</w:t>
            </w:r>
          </w:p>
        </w:tc>
      </w:tr>
      <w:tr w14:paraId="64F31AF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39" w:type="dxa"/>
            <w:tcBorders>
              <w:tl2br w:val="nil"/>
              <w:tr2bl w:val="nil"/>
            </w:tcBorders>
          </w:tcPr>
          <w:p w14:paraId="763CCD59">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消防人员保护设备</w:t>
            </w:r>
          </w:p>
        </w:tc>
        <w:tc>
          <w:tcPr>
            <w:tcW w:w="7348" w:type="dxa"/>
            <w:gridSpan w:val="4"/>
            <w:tcBorders>
              <w:tl2br w:val="nil"/>
              <w:tr2bl w:val="nil"/>
            </w:tcBorders>
          </w:tcPr>
          <w:p w14:paraId="6CED4EAB">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合适的保护装置包括在密封空间内接近起火点时必需佩戴的呼吸装置。</w:t>
            </w:r>
          </w:p>
        </w:tc>
      </w:tr>
      <w:tr w14:paraId="5CA61F63">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5"/>
            <w:tcBorders>
              <w:tl2br w:val="nil"/>
              <w:tr2bl w:val="nil"/>
            </w:tcBorders>
          </w:tcPr>
          <w:p w14:paraId="3CCF7EE8">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泄露应急措施</w:t>
            </w:r>
          </w:p>
        </w:tc>
      </w:tr>
      <w:tr w14:paraId="0933C29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39" w:type="dxa"/>
            <w:tcBorders>
              <w:tl2br w:val="nil"/>
              <w:tr2bl w:val="nil"/>
            </w:tcBorders>
          </w:tcPr>
          <w:p w14:paraId="51FC61A8">
            <w:pPr>
              <w:pStyle w:val="47"/>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保护措施</w:t>
            </w:r>
          </w:p>
        </w:tc>
        <w:tc>
          <w:tcPr>
            <w:tcW w:w="7348" w:type="dxa"/>
            <w:gridSpan w:val="4"/>
            <w:tcBorders>
              <w:tl2br w:val="nil"/>
              <w:tr2bl w:val="nil"/>
            </w:tcBorders>
          </w:tcPr>
          <w:p w14:paraId="04A21B50">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避免沾及皮肤及眼睛。</w:t>
            </w:r>
          </w:p>
          <w:p w14:paraId="08A59547">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使用合适的防扩散措施以免污染环境。用沙、泥土或其他合适的障碍物防止扩散或进入排水道、阴沟或河流。</w:t>
            </w:r>
          </w:p>
        </w:tc>
      </w:tr>
      <w:tr w14:paraId="470C0CD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939" w:type="dxa"/>
            <w:tcBorders>
              <w:tl2br w:val="nil"/>
              <w:tr2bl w:val="nil"/>
            </w:tcBorders>
          </w:tcPr>
          <w:p w14:paraId="7F7106C3">
            <w:pPr>
              <w:pStyle w:val="47"/>
              <w:keepNext w:val="0"/>
              <w:keepLines w:val="0"/>
              <w:pageBreakBefore w:val="0"/>
              <w:widowControl w:val="0"/>
              <w:kinsoku/>
              <w:wordWrap/>
              <w:overflowPunct/>
              <w:topLinePunct w:val="0"/>
              <w:autoSpaceDE/>
              <w:autoSpaceDN/>
              <w:bidi w:val="0"/>
              <w:adjustRightInd/>
              <w:snapToGrid/>
              <w:spacing w:line="320" w:lineRule="exact"/>
              <w:jc w:val="center"/>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清除方法</w:t>
            </w:r>
          </w:p>
        </w:tc>
        <w:tc>
          <w:tcPr>
            <w:tcW w:w="7348" w:type="dxa"/>
            <w:gridSpan w:val="4"/>
            <w:tcBorders>
              <w:tl2br w:val="nil"/>
              <w:tr2bl w:val="nil"/>
            </w:tcBorders>
          </w:tcPr>
          <w:p w14:paraId="72CBDDAB">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溢出后，地面非常光滑。为避免事故，应立即清洁。</w:t>
            </w:r>
          </w:p>
          <w:p w14:paraId="700CECAB">
            <w:pPr>
              <w:pStyle w:val="47"/>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default"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kern w:val="2"/>
                <w:sz w:val="21"/>
                <w:szCs w:val="21"/>
                <w:highlight w:val="none"/>
                <w:lang w:val="en-US" w:eastAsia="zh-CN"/>
                <w14:textFill>
                  <w14:solidFill>
                    <w14:schemeClr w14:val="tx1"/>
                  </w14:solidFill>
                </w14:textFill>
              </w:rPr>
              <w:t>用沙、泥土或其它可用来栏堵的材料设置障碍，以防止扩散。直接回收液体或存放于吸收剂中。用粘土、沙或其它适当的吸附材料来吸收残余物，然后给予适当的弃置。</w:t>
            </w:r>
          </w:p>
        </w:tc>
      </w:tr>
    </w:tbl>
    <w:p w14:paraId="3C52EE61">
      <w:pPr>
        <w:pStyle w:val="22"/>
        <w:snapToGrid w:val="0"/>
        <w:spacing w:line="356" w:lineRule="auto"/>
        <w:ind w:left="0" w:leftChars="0" w:firstLine="0" w:firstLineChars="0"/>
        <w:rPr>
          <w:rFonts w:hint="eastAsia" w:ascii="Arial" w:hAnsi="Arial" w:eastAsia="宋体" w:cs="Times New Roman"/>
          <w:b/>
          <w:bCs/>
          <w:color w:val="000000" w:themeColor="text1"/>
          <w:kern w:val="2"/>
          <w:sz w:val="28"/>
          <w:szCs w:val="28"/>
          <w:lang w:eastAsia="zh-CN"/>
          <w14:textFill>
            <w14:solidFill>
              <w14:schemeClr w14:val="tx1"/>
            </w14:solidFill>
          </w14:textFill>
        </w:rPr>
      </w:pPr>
    </w:p>
    <w:p w14:paraId="056615FC">
      <w:pPr>
        <w:pStyle w:val="9"/>
        <w:keepNext/>
        <w:keepLines/>
        <w:spacing w:before="260" w:beforeLines="0" w:after="260" w:afterLines="0" w:line="416" w:lineRule="auto"/>
        <w:ind w:firstLine="0" w:firstLineChars="0"/>
        <w:rPr>
          <w:rFonts w:hint="eastAsia" w:ascii="Arial" w:hAnsi="Arial" w:eastAsia="宋体" w:cs="Times New Roman"/>
          <w:b/>
          <w:bCs/>
          <w:color w:val="000000" w:themeColor="text1"/>
          <w:kern w:val="2"/>
          <w:sz w:val="28"/>
          <w:szCs w:val="28"/>
          <w:lang w:val="en-US" w:eastAsia="zh-CN"/>
          <w14:textFill>
            <w14:solidFill>
              <w14:schemeClr w14:val="tx1"/>
            </w14:solidFill>
          </w14:textFill>
        </w:rPr>
      </w:pPr>
      <w:bookmarkStart w:id="112" w:name="_Toc21216"/>
      <w:r>
        <w:rPr>
          <w:rFonts w:hint="eastAsia" w:ascii="Arial" w:hAnsi="Arial" w:eastAsia="宋体" w:cs="Times New Roman"/>
          <w:b/>
          <w:bCs/>
          <w:color w:val="000000" w:themeColor="text1"/>
          <w:kern w:val="2"/>
          <w:sz w:val="28"/>
          <w:szCs w:val="28"/>
          <w:lang w:eastAsia="zh-CN"/>
          <w14:textFill>
            <w14:solidFill>
              <w14:schemeClr w14:val="tx1"/>
            </w14:solidFill>
          </w14:textFill>
        </w:rPr>
        <w:t>3.4生产工艺</w:t>
      </w:r>
      <w:bookmarkEnd w:id="103"/>
      <w:bookmarkEnd w:id="104"/>
      <w:bookmarkEnd w:id="105"/>
      <w:bookmarkEnd w:id="106"/>
      <w:bookmarkEnd w:id="107"/>
      <w:bookmarkEnd w:id="110"/>
      <w:bookmarkEnd w:id="111"/>
      <w:bookmarkEnd w:id="112"/>
    </w:p>
    <w:bookmarkEnd w:id="108"/>
    <w:bookmarkEnd w:id="109"/>
    <w:p w14:paraId="7DDB9212">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松香生产车间工艺流程</w:t>
      </w:r>
    </w:p>
    <w:p w14:paraId="0EFE8100">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公司精制松香和松香生产为同一条生产线，公司松香生产工艺分为松脂溶解（含过滤）、脂液澄清、脂液蒸馏、冷却定型即为成品，反应过程均处于密闭管道过程，其工艺流程简介如下:</w:t>
      </w:r>
    </w:p>
    <w:p w14:paraId="622CF880">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（1）外购松脂原料：从当地农户及各地落地松脂收购站外购松脂原料，外购后暂存于原料暂存间；</w:t>
      </w:r>
    </w:p>
    <w:p w14:paraId="68A68E37">
      <w:pPr>
        <w:spacing w:line="360"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（2）人工分离杂质：利用人工将松脂原料中的废屑、塑料、树枝等杂质进行人工分拣，去除杂质；</w:t>
      </w:r>
    </w:p>
    <w:p w14:paraId="4BF9BA9C">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（4）装载机投料、皮带系统输送：利用装载机将人工分拣好的松脂原料投入输送皮带系统；</w:t>
      </w:r>
    </w:p>
    <w:p w14:paraId="50A48496">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4）溶解锅溶解：将原料落地松脂进行分拣处理后，通过装载机将原料运输到皮带输送机系统内输送至溶解锅内，并在熔解锅内加入溶剂松节油，作用为用于溶解松脂，使原料中的杂质和松脂分离；具体步骤如下：</w:t>
      </w:r>
    </w:p>
    <w:p w14:paraId="0EEDA29A">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①搅拌溶解：用生物质导热油炉进行加热，通过导热油锅炉尾气和导热油管道加热蒸汽发生器间接加热，使松香溶解于松节油中形成中间体(松香与松节油的混合物)，并在溶解锅中自然澄清，使中间体与杂质分离。分离后的中间体通过压脂锅放入到澄清工段进行澄清；残余杂质在溶解锅内搅拌蒸馏继续加工，蒸馏出杂质内含有的松节油重油后剩余附着有少量松香与松节油的残渣，残渣经自然干燥后作为生物质燃料作为锅炉燃料综合利用。</w:t>
      </w:r>
    </w:p>
    <w:p w14:paraId="14E567F0">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②脂液过滤：溶解完成后静置一段时间使松脂液和杂质基本分离，放入压脂锅，通过压脂锅压入澄清锅二次分离杂质，使杂质和松脂液完全分离，松脂液浮于上层，杂质落于底部；</w:t>
      </w:r>
    </w:p>
    <w:p w14:paraId="0DF81EF2">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5）澄清锅脂液澄清：将过滤后的脂液压送至澄清锅，温度控制在90℃左右，以蒸汽为热源，静置6~8小时，使脂液和水自行分层，以去除溶解工序未清除的细小杂质和少量水分，松脂含有少量水分。由于密度和溶解度的不同实现澄清分离，澄清槽上层为澄清脂液，下层为水层。澄清锅设有玻璃透视的液位显示器，上层脂液送入蒸馏工序进一步精制提纯。</w:t>
      </w:r>
    </w:p>
    <w:p w14:paraId="4AA91FB0">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澄清过程会有少量的水和松节油蒸汽逸出，经冷凝器冷凝后得到含水的松节油，再通过油水分离器，得到松节油。冷凝器排空口的逸散尾气，为不凝废气。油水分离废水进入残液池。</w:t>
      </w:r>
    </w:p>
    <w:p w14:paraId="64FC28BD">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（6）蒸馏锅脂液蒸馏：</w:t>
      </w:r>
    </w:p>
    <w:p w14:paraId="5C575105">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蒸馏工序是在蒸馏锅中进行。</w:t>
      </w:r>
    </w:p>
    <w:p w14:paraId="04F45B24">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澄清的脂液去除浮渣等杂质后通过压脂锅压入蒸馏锅中，蒸馏锅内通入蒸汽直接加热，蒸馏锅夹套内通入导热油进行间接加热保持蒸馏温度。蒸馏出来的松节油和水蒸气由蒸馏锅上部的冷凝器回收进入油罐贮存，全部回用到溶解工段，用作松脂溶解剂。蒸出的混合蒸汽经冷凝器冷却，冷却过程会产生少量不凝气。经冷凝器冷却的液体再进入油水分离器进行油水分离，除去残水，该部分残水多为冷凝水，送入残液池后返回冷凝器循环用水使用。</w:t>
      </w:r>
    </w:p>
    <w:p w14:paraId="4E0B3207">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（7）冷却定型：脂液在蒸馏锅蒸馏达到终点后，关闭蒸汽加热管，停止加热，打开蒸馏锅底部松香出口阀门,将蒸馏得到的成品精致松香注入镀锌桶经冷却后出厂。</w:t>
      </w:r>
    </w:p>
    <w:p w14:paraId="1C855A87">
      <w:pPr>
        <w:pStyle w:val="22"/>
        <w:snapToGrid w:val="0"/>
        <w:spacing w:line="356" w:lineRule="auto"/>
        <w:ind w:firstLine="480" w:firstLineChars="200"/>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pPr>
      <w:r>
        <w:rPr>
          <w:rFonts w:hint="eastAsia" w:asciiTheme="minorEastAsia" w:hAnsiTheme="minorEastAsia" w:eastAsiaTheme="minorEastAsia" w:cstheme="minorEastAsia"/>
          <w:color w:val="000000" w:themeColor="text1"/>
          <w:kern w:val="2"/>
          <w:sz w:val="24"/>
          <w:szCs w:val="24"/>
          <w:highlight w:val="none"/>
          <w:lang w:val="en-US" w:eastAsia="zh-CN" w:bidi="ar-SA"/>
          <w14:textFill>
            <w14:solidFill>
              <w14:schemeClr w14:val="tx1"/>
            </w14:solidFill>
          </w14:textFill>
        </w:rPr>
        <w:t>项目溶解、澄清、蒸馏和回收工序的蒸汽来自锅炉。采用生物质燃料燃烧提供热量加热导热油锅炉后由蒸汽发生器为整个生产过程提供蒸汽。锅炉燃烧过程中有废气产生，废气通过“旋风除尘+布袋除尘+水膜除尘”处理后，再经1根30m高排气筒（DA003）排放。</w:t>
      </w:r>
    </w:p>
    <w:p w14:paraId="7855256F">
      <w:pPr>
        <w:rPr>
          <w:rFonts w:hint="eastAsia"/>
          <w:color w:val="000000" w:themeColor="text1"/>
          <w14:textFill>
            <w14:solidFill>
              <w14:schemeClr w14:val="tx1"/>
            </w14:solidFill>
          </w14:textFill>
        </w:rPr>
      </w:pPr>
      <w:r>
        <w:rPr>
          <w:b/>
          <w:bCs/>
          <w:color w:val="000000" w:themeColor="text1"/>
          <w:szCs w:val="21"/>
          <w14:textFill>
            <w14:solidFill>
              <w14:schemeClr w14:val="tx1"/>
            </w14:solidFill>
          </w14:textFill>
        </w:rPr>
        <w:object>
          <v:shape id="_x0000_i1025" o:spt="75" type="#_x0000_t75" style="height:384.1pt;width:482pt;" o:ole="t" filled="f" o:preferrelative="t" stroked="f" coordsize="21600,21600">
            <v:path/>
            <v:fill on="f" focussize="0,0"/>
            <v:stroke on="f"/>
            <v:imagedata r:id="rId13" o:title=""/>
            <o:lock v:ext="edit" aspectratio="f"/>
            <w10:wrap type="none"/>
            <w10:anchorlock/>
          </v:shape>
          <o:OLEObject Type="Embed" ProgID="Visio.Drawing.15" ShapeID="_x0000_i1025" DrawAspect="Content" ObjectID="_1468075725" r:id="rId12">
            <o:LockedField>false</o:LockedField>
          </o:OLEObject>
        </w:object>
      </w:r>
    </w:p>
    <w:p w14:paraId="7955586D">
      <w:pPr>
        <w:ind w:firstLine="480"/>
        <w:jc w:val="cente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highlight w:val="none"/>
          <w:lang w:val="en-US" w:eastAsia="zh-CN"/>
          <w14:textFill>
            <w14:solidFill>
              <w14:schemeClr w14:val="tx1"/>
            </w14:solidFill>
          </w14:textFill>
        </w:rPr>
        <w:t>图3-1 松香生产工艺流程图</w:t>
      </w:r>
    </w:p>
    <w:p w14:paraId="313EC42E">
      <w:pPr>
        <w:pStyle w:val="9"/>
        <w:keepNext/>
        <w:keepLines/>
        <w:spacing w:before="260" w:beforeLines="0" w:after="260" w:afterLines="0" w:line="416" w:lineRule="auto"/>
        <w:ind w:firstLine="0" w:firstLineChars="0"/>
        <w:jc w:val="both"/>
        <w:rPr>
          <w:rFonts w:hint="eastAsia" w:ascii="Arial" w:hAnsi="Arial" w:eastAsia="宋体" w:cs="Times New Roman"/>
          <w:b/>
          <w:bCs/>
          <w:color w:val="000000" w:themeColor="text1"/>
          <w:kern w:val="2"/>
          <w:sz w:val="28"/>
          <w:szCs w:val="28"/>
          <w:lang w:eastAsia="zh-CN"/>
          <w14:textFill>
            <w14:solidFill>
              <w14:schemeClr w14:val="tx1"/>
            </w14:solidFill>
          </w14:textFill>
        </w:rPr>
      </w:pPr>
      <w:bookmarkStart w:id="113" w:name="_Toc11694"/>
      <w:bookmarkStart w:id="114" w:name="_Toc3015"/>
      <w:bookmarkStart w:id="115" w:name="_Toc3233"/>
      <w:bookmarkStart w:id="116" w:name="_Toc15558"/>
      <w:bookmarkStart w:id="117" w:name="_Toc11280"/>
      <w:bookmarkStart w:id="118" w:name="_Toc1340"/>
      <w:bookmarkStart w:id="119" w:name="_Toc13851"/>
      <w:bookmarkStart w:id="120" w:name="_Toc2338"/>
      <w:r>
        <w:rPr>
          <w:rFonts w:hint="eastAsia" w:ascii="Arial" w:hAnsi="Arial" w:eastAsia="宋体" w:cs="Times New Roman"/>
          <w:b/>
          <w:bCs/>
          <w:color w:val="000000" w:themeColor="text1"/>
          <w:kern w:val="2"/>
          <w:sz w:val="28"/>
          <w:szCs w:val="28"/>
          <w:lang w:eastAsia="zh-CN"/>
          <w14:textFill>
            <w14:solidFill>
              <w14:schemeClr w14:val="tx1"/>
            </w14:solidFill>
          </w14:textFill>
        </w:rPr>
        <w:t>3.5安全生产管理</w:t>
      </w:r>
      <w:bookmarkEnd w:id="113"/>
      <w:bookmarkEnd w:id="114"/>
      <w:bookmarkEnd w:id="115"/>
      <w:bookmarkEnd w:id="116"/>
      <w:bookmarkEnd w:id="117"/>
      <w:bookmarkEnd w:id="118"/>
      <w:bookmarkEnd w:id="119"/>
      <w:bookmarkEnd w:id="120"/>
    </w:p>
    <w:p w14:paraId="75A4ED45">
      <w:pPr>
        <w:spacing w:line="360" w:lineRule="auto"/>
        <w:ind w:firstLine="460" w:firstLineChars="192"/>
        <w:rPr>
          <w:rFonts w:hint="eastAsia" w:ascii="宋体" w:hAnsi="宋体" w:cs="宋体"/>
          <w:color w:val="000000" w:themeColor="text1"/>
          <w:kern w:val="0"/>
          <w:sz w:val="24"/>
          <w:szCs w:val="24"/>
          <w14:textFill>
            <w14:solidFill>
              <w14:schemeClr w14:val="tx1"/>
            </w14:solidFill>
          </w14:textFill>
        </w:rPr>
      </w:pPr>
      <w:bookmarkStart w:id="121" w:name="_Toc27999"/>
      <w:bookmarkStart w:id="122" w:name="_Toc11801"/>
      <w:bookmarkStart w:id="123" w:name="_Toc9191"/>
      <w:bookmarkStart w:id="124" w:name="_Toc6514"/>
      <w:bookmarkStart w:id="125" w:name="_Toc31684"/>
      <w:bookmarkStart w:id="126" w:name="_Toc13600"/>
      <w:bookmarkStart w:id="127" w:name="_Toc15506"/>
      <w:r>
        <w:rPr>
          <w:rFonts w:hint="eastAsia" w:ascii="宋体" w:hAnsi="宋体" w:cs="宋体"/>
          <w:color w:val="000000" w:themeColor="text1"/>
          <w:kern w:val="0"/>
          <w:sz w:val="24"/>
          <w:szCs w:val="24"/>
          <w14:textFill>
            <w14:solidFill>
              <w14:schemeClr w14:val="tx1"/>
            </w14:solidFill>
          </w14:textFill>
        </w:rPr>
        <w:t>公司多年来一贯坚持全方位的深化管理，有严格健全的组织管理体系，管理基础工作扎实，绩效显著。在生产实践中，公司坚持以科学发展观为指导，以提高资源利用率、增强竞争能力为目标，大力开展资源节约、综合利用、清洁生产等创新发展思路，坚持“减量化、再利用、资源化”原则，使自身不断得到完善和提高，环保效益跃上了一个新的台阶，为</w:t>
      </w:r>
      <w:r>
        <w:rPr>
          <w:rFonts w:hint="eastAsia" w:ascii="宋体" w:hAnsi="宋体" w:cs="宋体"/>
          <w:color w:val="000000" w:themeColor="text1"/>
          <w:kern w:val="0"/>
          <w:sz w:val="24"/>
          <w:szCs w:val="24"/>
          <w:lang w:val="en-US" w:eastAsia="zh-CN"/>
          <w14:textFill>
            <w14:solidFill>
              <w14:schemeClr w14:val="tx1"/>
            </w14:solidFill>
          </w14:textFill>
        </w:rPr>
        <w:t>安宁市</w:t>
      </w:r>
      <w:r>
        <w:rPr>
          <w:rFonts w:hint="eastAsia" w:ascii="宋体" w:hAnsi="宋体" w:cs="宋体"/>
          <w:color w:val="000000" w:themeColor="text1"/>
          <w:kern w:val="0"/>
          <w:sz w:val="24"/>
          <w:szCs w:val="24"/>
          <w14:textFill>
            <w14:solidFill>
              <w14:schemeClr w14:val="tx1"/>
            </w14:solidFill>
          </w14:textFill>
        </w:rPr>
        <w:t>的工业建设和发展做出了较为突出的贡献。</w:t>
      </w:r>
    </w:p>
    <w:p w14:paraId="7215FEEE">
      <w:pPr>
        <w:spacing w:line="360" w:lineRule="auto"/>
        <w:ind w:firstLine="480" w:firstLineChars="200"/>
        <w:rPr>
          <w:rFonts w:hint="eastAsia" w:ascii="宋体" w:hAnsi="宋体" w:cs="宋体"/>
          <w:color w:val="000000" w:themeColor="text1"/>
          <w:kern w:val="0"/>
          <w:sz w:val="24"/>
          <w:szCs w:val="24"/>
          <w14:textFill>
            <w14:solidFill>
              <w14:schemeClr w14:val="tx1"/>
            </w14:solidFill>
          </w14:textFill>
        </w:rPr>
      </w:pPr>
      <w:r>
        <w:rPr>
          <w:rFonts w:hint="eastAsia" w:ascii="宋体" w:hAnsi="宋体" w:cs="宋体"/>
          <w:color w:val="000000" w:themeColor="text1"/>
          <w:kern w:val="0"/>
          <w:sz w:val="24"/>
          <w:szCs w:val="24"/>
          <w14:textFill>
            <w14:solidFill>
              <w14:schemeClr w14:val="tx1"/>
            </w14:solidFill>
          </w14:textFill>
        </w:rPr>
        <w:t>随着社会的不断进步和发展，根据现代企业管理的要求，结合公司的生产实际，适时地对各项规章制度、各种定额指标进行修订，以满足生产经营管理的需要，同时对一些管理办法进行改革，不断寻求适合公司发展的管理体制。</w:t>
      </w:r>
    </w:p>
    <w:p w14:paraId="5F9ADF90">
      <w:pPr>
        <w:pStyle w:val="9"/>
        <w:keepNext/>
        <w:keepLines/>
        <w:spacing w:before="260" w:beforeLines="0" w:after="260" w:afterLines="0" w:line="416" w:lineRule="auto"/>
        <w:ind w:firstLine="0" w:firstLineChars="0"/>
        <w:rPr>
          <w:rFonts w:hint="eastAsia" w:ascii="Arial" w:hAnsi="Arial" w:eastAsia="宋体" w:cs="Times New Roman"/>
          <w:b/>
          <w:bCs/>
          <w:color w:val="000000" w:themeColor="text1"/>
          <w:kern w:val="2"/>
          <w:sz w:val="28"/>
          <w:szCs w:val="28"/>
          <w:lang w:eastAsia="zh-CN"/>
          <w14:textFill>
            <w14:solidFill>
              <w14:schemeClr w14:val="tx1"/>
            </w14:solidFill>
          </w14:textFill>
        </w:rPr>
      </w:pPr>
      <w:bookmarkStart w:id="128" w:name="_Toc29469"/>
      <w:r>
        <w:rPr>
          <w:rFonts w:hint="eastAsia" w:ascii="Arial" w:hAnsi="Arial" w:eastAsia="宋体" w:cs="Times New Roman"/>
          <w:b/>
          <w:bCs/>
          <w:color w:val="000000" w:themeColor="text1"/>
          <w:kern w:val="2"/>
          <w:sz w:val="28"/>
          <w:szCs w:val="28"/>
          <w:lang w:eastAsia="zh-CN"/>
          <w14:textFill>
            <w14:solidFill>
              <w14:schemeClr w14:val="tx1"/>
            </w14:solidFill>
          </w14:textFill>
        </w:rPr>
        <w:t>3.6现有环境风险防范与应急措施</w:t>
      </w:r>
      <w:bookmarkEnd w:id="121"/>
      <w:bookmarkEnd w:id="122"/>
      <w:bookmarkEnd w:id="123"/>
      <w:bookmarkEnd w:id="124"/>
      <w:bookmarkEnd w:id="125"/>
      <w:bookmarkEnd w:id="126"/>
      <w:bookmarkEnd w:id="127"/>
      <w:bookmarkEnd w:id="128"/>
    </w:p>
    <w:p w14:paraId="7E6B3CE8">
      <w:pPr>
        <w:spacing w:line="360" w:lineRule="auto"/>
        <w:ind w:firstLine="460" w:firstLineChars="192"/>
        <w:rPr>
          <w:rFonts w:hint="eastAsia"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近年来，本公司在安全环保方面做了大量的工作，取得了显著的成效。积极实施节能减排方案，建立了比较完善的生产安全管理体系。</w:t>
      </w:r>
    </w:p>
    <w:p w14:paraId="1C7906EB">
      <w:pPr>
        <w:spacing w:line="360" w:lineRule="auto"/>
        <w:ind w:firstLine="460" w:firstLineChars="192"/>
        <w:rPr>
          <w:rFonts w:hint="eastAsia" w:ascii="宋体" w:hAnsi="宋体" w:eastAsia="宋体" w:cs="宋体"/>
          <w:color w:val="000000" w:themeColor="text1"/>
          <w:kern w:val="0"/>
          <w:sz w:val="24"/>
          <w:szCs w:val="24"/>
          <w14:textFill>
            <w14:solidFill>
              <w14:schemeClr w14:val="tx1"/>
            </w14:solidFill>
          </w14:textFill>
        </w:rPr>
      </w:pPr>
      <w:bookmarkStart w:id="129" w:name="_Toc15520"/>
      <w:r>
        <w:rPr>
          <w:rFonts w:hint="eastAsia" w:ascii="宋体" w:hAnsi="宋体" w:eastAsia="宋体" w:cs="宋体"/>
          <w:color w:val="000000" w:themeColor="text1"/>
          <w:kern w:val="0"/>
          <w:sz w:val="24"/>
          <w:szCs w:val="24"/>
          <w14:textFill>
            <w14:solidFill>
              <w14:schemeClr w14:val="tx1"/>
            </w14:solidFill>
          </w14:textFill>
        </w:rPr>
        <w:t>（1）废水环境风险防范与应急措施</w:t>
      </w:r>
      <w:bookmarkEnd w:id="129"/>
    </w:p>
    <w:p w14:paraId="2D539185">
      <w:pPr>
        <w:pStyle w:val="16"/>
        <w:rPr>
          <w:rFonts w:hint="default" w:ascii="宋体" w:hAnsi="宋体" w:eastAsia="宋体" w:cs="宋体"/>
          <w:color w:val="000000" w:themeColor="text1"/>
          <w:kern w:val="0"/>
          <w:sz w:val="24"/>
          <w:szCs w:val="24"/>
          <w:lang w:val="en-US" w:eastAsia="zh-CN" w:bidi="ar-SA"/>
          <w14:textFill>
            <w14:solidFill>
              <w14:schemeClr w14:val="tx1"/>
            </w14:solidFill>
          </w14:textFill>
        </w:rPr>
      </w:pPr>
      <w:r>
        <w:rPr>
          <w:rFonts w:hint="eastAsia" w:hAnsi="宋体" w:cs="宋体"/>
          <w:color w:val="000000" w:themeColor="text1"/>
          <w:kern w:val="0"/>
          <w:sz w:val="24"/>
          <w:szCs w:val="24"/>
          <w:lang w:val="en-US" w:eastAsia="zh-CN" w:bidi="ar-SA"/>
          <w14:textFill>
            <w14:solidFill>
              <w14:schemeClr w14:val="tx1"/>
            </w14:solidFill>
          </w14:textFill>
        </w:rPr>
        <w:t>①软化处理废水：软化处理废水用于水膜除尘用水，不外排。</w:t>
      </w:r>
    </w:p>
    <w:p w14:paraId="25E3024B">
      <w:pPr>
        <w:pStyle w:val="16"/>
        <w:rPr>
          <w:rFonts w:hint="default" w:hAnsi="宋体" w:cs="宋体"/>
          <w:color w:val="000000" w:themeColor="text1"/>
          <w:kern w:val="0"/>
          <w:sz w:val="24"/>
          <w:szCs w:val="24"/>
          <w:lang w:val="en-US" w:eastAsia="zh-CN" w:bidi="ar-SA"/>
          <w14:textFill>
            <w14:solidFill>
              <w14:schemeClr w14:val="tx1"/>
            </w14:solidFill>
          </w14:textFill>
        </w:rPr>
      </w:pPr>
      <w:r>
        <w:rPr>
          <w:rFonts w:hint="eastAsia" w:hAnsi="宋体" w:cs="宋体"/>
          <w:color w:val="000000" w:themeColor="text1"/>
          <w:kern w:val="0"/>
          <w:sz w:val="24"/>
          <w:szCs w:val="24"/>
          <w:lang w:val="en-US" w:eastAsia="zh-CN"/>
          <w14:textFill>
            <w14:solidFill>
              <w14:schemeClr w14:val="tx1"/>
            </w14:solidFill>
          </w14:textFill>
        </w:rPr>
        <w:t>②蒸汽发生器强排</w:t>
      </w:r>
      <w:r>
        <w:rPr>
          <w:rFonts w:hint="eastAsia" w:hAnsi="宋体" w:cs="宋体"/>
          <w:color w:val="000000" w:themeColor="text1"/>
          <w:kern w:val="0"/>
          <w:sz w:val="24"/>
          <w:szCs w:val="24"/>
          <w:lang w:val="en-US" w:eastAsia="zh-CN" w:bidi="ar-SA"/>
          <w14:textFill>
            <w14:solidFill>
              <w14:schemeClr w14:val="tx1"/>
            </w14:solidFill>
          </w14:textFill>
        </w:rPr>
        <w:t>水：蒸汽发生器（锅炉）强排水回用于锅炉旁污水沉淀池沉淀后回到锅炉使用，不外排。</w:t>
      </w:r>
    </w:p>
    <w:p w14:paraId="238EF90B">
      <w:pPr>
        <w:pStyle w:val="16"/>
        <w:rPr>
          <w:rFonts w:hint="default" w:hAnsi="宋体" w:cs="宋体"/>
          <w:color w:val="000000" w:themeColor="text1"/>
          <w:kern w:val="0"/>
          <w:sz w:val="24"/>
          <w:szCs w:val="24"/>
          <w:lang w:val="en-US" w:eastAsia="zh-CN"/>
          <w14:textFill>
            <w14:solidFill>
              <w14:schemeClr w14:val="tx1"/>
            </w14:solidFill>
          </w14:textFill>
        </w:rPr>
      </w:pPr>
      <w:r>
        <w:rPr>
          <w:rFonts w:hint="eastAsia" w:hAnsi="宋体" w:cs="宋体"/>
          <w:color w:val="000000" w:themeColor="text1"/>
          <w:kern w:val="0"/>
          <w:sz w:val="24"/>
          <w:szCs w:val="24"/>
          <w:lang w:val="en-US" w:eastAsia="zh-CN"/>
          <w14:textFill>
            <w14:solidFill>
              <w14:schemeClr w14:val="tx1"/>
            </w14:solidFill>
          </w14:textFill>
        </w:rPr>
        <w:t>③冷凝水：</w:t>
      </w:r>
      <w:r>
        <w:rPr>
          <w:rFonts w:hint="eastAsia" w:hAnsi="宋体" w:cs="宋体"/>
          <w:color w:val="000000" w:themeColor="text1"/>
          <w:kern w:val="0"/>
          <w:sz w:val="24"/>
          <w:szCs w:val="24"/>
          <w:lang w:val="zh-CN" w:eastAsia="zh-CN"/>
          <w14:textFill>
            <w14:solidFill>
              <w14:schemeClr w14:val="tx1"/>
            </w14:solidFill>
          </w14:textFill>
        </w:rPr>
        <w:t>冷凝水</w:t>
      </w:r>
      <w:r>
        <w:rPr>
          <w:rFonts w:hint="eastAsia" w:hAnsi="宋体" w:cs="宋体"/>
          <w:color w:val="000000" w:themeColor="text1"/>
          <w:kern w:val="0"/>
          <w:sz w:val="24"/>
          <w:szCs w:val="24"/>
          <w:lang w:val="en-US" w:eastAsia="zh-CN"/>
          <w14:textFill>
            <w14:solidFill>
              <w14:schemeClr w14:val="tx1"/>
            </w14:solidFill>
          </w14:textFill>
        </w:rPr>
        <w:t>直接回用于水膜除尘水罐,补充水膜除尘水，不外排。</w:t>
      </w:r>
    </w:p>
    <w:p w14:paraId="4DB0F412">
      <w:pPr>
        <w:pStyle w:val="16"/>
        <w:rPr>
          <w:rFonts w:hint="default" w:hAnsi="宋体" w:cs="宋体"/>
          <w:color w:val="000000" w:themeColor="text1"/>
          <w:kern w:val="0"/>
          <w:sz w:val="24"/>
          <w:szCs w:val="24"/>
          <w:lang w:val="en-US" w:eastAsia="zh-CN"/>
          <w14:textFill>
            <w14:solidFill>
              <w14:schemeClr w14:val="tx1"/>
            </w14:solidFill>
          </w14:textFill>
        </w:rPr>
      </w:pPr>
      <w:r>
        <w:rPr>
          <w:rFonts w:hint="eastAsia" w:hAnsi="宋体" w:cs="宋体"/>
          <w:color w:val="000000" w:themeColor="text1"/>
          <w:kern w:val="0"/>
          <w:sz w:val="24"/>
          <w:szCs w:val="24"/>
          <w:lang w:val="en-US" w:eastAsia="zh-CN"/>
          <w14:textFill>
            <w14:solidFill>
              <w14:schemeClr w14:val="tx1"/>
            </w14:solidFill>
          </w14:textFill>
        </w:rPr>
        <w:t>④油水分离废水：直通蒸汽（活气）油水分离后的生产废水用于水膜除尘损耗补充水，不外排。</w:t>
      </w:r>
    </w:p>
    <w:p w14:paraId="5D60D86B">
      <w:pPr>
        <w:pStyle w:val="16"/>
        <w:rPr>
          <w:rFonts w:hint="eastAsia" w:hAnsi="宋体" w:cs="宋体"/>
          <w:color w:val="000000" w:themeColor="text1"/>
          <w:kern w:val="0"/>
          <w:sz w:val="24"/>
          <w:szCs w:val="24"/>
          <w:lang w:val="en-US" w:eastAsia="zh-CN"/>
          <w14:textFill>
            <w14:solidFill>
              <w14:schemeClr w14:val="tx1"/>
            </w14:solidFill>
          </w14:textFill>
        </w:rPr>
      </w:pPr>
      <w:r>
        <w:rPr>
          <w:rFonts w:hint="eastAsia" w:hAnsi="宋体" w:cs="宋体"/>
          <w:color w:val="000000" w:themeColor="text1"/>
          <w:kern w:val="0"/>
          <w:sz w:val="24"/>
          <w:szCs w:val="24"/>
          <w:lang w:val="en-US" w:eastAsia="zh-CN"/>
          <w14:textFill>
            <w14:solidFill>
              <w14:schemeClr w14:val="tx1"/>
            </w14:solidFill>
          </w14:textFill>
        </w:rPr>
        <w:t>⑤生活污水：</w:t>
      </w:r>
    </w:p>
    <w:p w14:paraId="56FA3D19">
      <w:pPr>
        <w:pStyle w:val="16"/>
        <w:rPr>
          <w:rFonts w:hint="default" w:hAnsi="宋体" w:cs="宋体"/>
          <w:color w:val="000000" w:themeColor="text1"/>
          <w:kern w:val="0"/>
          <w:sz w:val="24"/>
          <w:szCs w:val="24"/>
          <w:lang w:val="en-US" w:eastAsia="zh-CN"/>
          <w14:textFill>
            <w14:solidFill>
              <w14:schemeClr w14:val="tx1"/>
            </w14:solidFill>
          </w14:textFill>
        </w:rPr>
      </w:pPr>
      <w:r>
        <w:rPr>
          <w:rFonts w:hint="eastAsia" w:hAnsi="宋体" w:cs="宋体"/>
          <w:color w:val="000000" w:themeColor="text1"/>
          <w:kern w:val="0"/>
          <w:sz w:val="24"/>
          <w:szCs w:val="24"/>
          <w:lang w:val="en-US" w:eastAsia="zh-CN"/>
          <w14:textFill>
            <w14:solidFill>
              <w14:schemeClr w14:val="tx1"/>
            </w14:solidFill>
          </w14:textFill>
        </w:rPr>
        <w:t>办公生活废水经一个3m²的化粪池后，排入安丰营污水处理产处理厂。</w:t>
      </w:r>
    </w:p>
    <w:p w14:paraId="42493F36">
      <w:pPr>
        <w:pStyle w:val="16"/>
        <w:rPr>
          <w:rFonts w:hint="eastAsia" w:hAnsi="宋体" w:cs="宋体"/>
          <w:color w:val="000000" w:themeColor="text1"/>
          <w:kern w:val="0"/>
          <w:sz w:val="24"/>
          <w:szCs w:val="24"/>
          <w:lang w:val="en-US" w:eastAsia="zh-CN"/>
          <w14:textFill>
            <w14:solidFill>
              <w14:schemeClr w14:val="tx1"/>
            </w14:solidFill>
          </w14:textFill>
        </w:rPr>
      </w:pPr>
      <w:r>
        <w:rPr>
          <w:rFonts w:hint="eastAsia" w:hAnsi="宋体" w:cs="宋体"/>
          <w:color w:val="000000" w:themeColor="text1"/>
          <w:kern w:val="0"/>
          <w:sz w:val="24"/>
          <w:szCs w:val="24"/>
          <w:lang w:val="en-US" w:eastAsia="zh-CN"/>
          <w14:textFill>
            <w14:solidFill>
              <w14:schemeClr w14:val="tx1"/>
            </w14:solidFill>
          </w14:textFill>
        </w:rPr>
        <w:t>食堂产生的含油废水由食堂外北侧的一个5m³隔油池处理后和办公废水进入化粪池，排入安丰营污水处理厂。</w:t>
      </w:r>
    </w:p>
    <w:p w14:paraId="5BB55011">
      <w:pPr>
        <w:spacing w:line="360" w:lineRule="auto"/>
        <w:rPr>
          <w:rFonts w:hint="default" w:ascii="宋体" w:hAnsi="宋体" w:eastAsia="宋体" w:cs="宋体"/>
          <w:color w:val="000000" w:themeColor="text1"/>
          <w:kern w:val="0"/>
          <w:sz w:val="24"/>
          <w:szCs w:val="24"/>
          <w:lang w:val="en-US" w:eastAsia="zh-CN"/>
          <w14:textFill>
            <w14:solidFill>
              <w14:schemeClr w14:val="tx1"/>
            </w14:solidFill>
          </w14:textFill>
        </w:rPr>
      </w:pPr>
    </w:p>
    <w:p w14:paraId="6047DB37">
      <w:pPr>
        <w:spacing w:line="360" w:lineRule="auto"/>
        <w:ind w:firstLine="460" w:firstLineChars="192"/>
        <w:rPr>
          <w:rFonts w:hint="eastAsia" w:ascii="宋体" w:hAnsi="宋体" w:eastAsia="宋体" w:cs="宋体"/>
          <w:color w:val="000000" w:themeColor="text1"/>
          <w:kern w:val="0"/>
          <w:sz w:val="24"/>
          <w:szCs w:val="24"/>
          <w14:textFill>
            <w14:solidFill>
              <w14:schemeClr w14:val="tx1"/>
            </w14:solidFill>
          </w14:textFill>
        </w:rPr>
      </w:pPr>
      <w:bookmarkStart w:id="130" w:name="_Toc25070"/>
      <w:r>
        <w:rPr>
          <w:rFonts w:hint="eastAsia" w:ascii="宋体" w:hAnsi="宋体" w:eastAsia="宋体" w:cs="宋体"/>
          <w:color w:val="000000" w:themeColor="text1"/>
          <w:kern w:val="0"/>
          <w:sz w:val="24"/>
          <w:szCs w:val="24"/>
          <w14:textFill>
            <w14:solidFill>
              <w14:schemeClr w14:val="tx1"/>
            </w14:solidFill>
          </w14:textFill>
        </w:rPr>
        <w:t>（2）废气环境风险防范与应急措施</w:t>
      </w:r>
      <w:bookmarkEnd w:id="130"/>
    </w:p>
    <w:p w14:paraId="51FD47C1">
      <w:pPr>
        <w:spacing w:line="360" w:lineRule="auto"/>
        <w:ind w:firstLine="460" w:firstLineChars="192"/>
        <w:rPr>
          <w:rFonts w:hint="eastAsia" w:ascii="宋体" w:hAnsi="宋体" w:cs="宋体"/>
          <w:color w:val="000000" w:themeColor="text1"/>
          <w:kern w:val="0"/>
          <w:sz w:val="24"/>
          <w:szCs w:val="24"/>
          <w:lang w:eastAsia="zh-CN"/>
          <w14:textFill>
            <w14:solidFill>
              <w14:schemeClr w14:val="tx1"/>
            </w14:solidFill>
          </w14:textFill>
        </w:rPr>
      </w:pPr>
      <w:bookmarkStart w:id="131" w:name="_Toc16976"/>
      <w:r>
        <w:rPr>
          <w:rFonts w:hint="eastAsia" w:ascii="宋体" w:hAnsi="宋体" w:eastAsia="宋体" w:cs="宋体"/>
          <w:color w:val="000000" w:themeColor="text1"/>
          <w:kern w:val="0"/>
          <w:sz w:val="24"/>
          <w:szCs w:val="24"/>
          <w:lang w:val="en-US" w:eastAsia="zh-CN"/>
          <w14:textFill>
            <w14:solidFill>
              <w14:schemeClr w14:val="tx1"/>
            </w14:solidFill>
          </w14:textFill>
        </w:rPr>
        <w:t>①</w:t>
      </w: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eastAsia="zh-CN"/>
          <w14:textFill>
            <w14:solidFill>
              <w14:schemeClr w14:val="tx1"/>
            </w14:solidFill>
          </w14:textFill>
        </w:rPr>
        <w:t>：</w:t>
      </w:r>
    </w:p>
    <w:p w14:paraId="4627980E">
      <w:pPr>
        <w:spacing w:line="360" w:lineRule="auto"/>
        <w:ind w:firstLine="460" w:firstLineChars="192"/>
        <w:rPr>
          <w:rFonts w:hint="default" w:ascii="宋体" w:hAnsi="宋体" w:eastAsia="宋体" w:cs="宋体"/>
          <w:color w:val="000000" w:themeColor="text1"/>
          <w:kern w:val="0"/>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val="en-US" w:eastAsia="zh-CN"/>
          <w14:textFill>
            <w14:solidFill>
              <w14:schemeClr w14:val="tx1"/>
            </w14:solidFill>
          </w14:textFill>
        </w:rPr>
        <w:t>主要有颗粒物，二氧化硫和氮氧化</w:t>
      </w:r>
      <w:r>
        <w:rPr>
          <w:rFonts w:hint="eastAsia" w:ascii="宋体" w:hAnsi="宋体" w:eastAsia="宋体" w:cs="宋体"/>
          <w:color w:val="000000" w:themeColor="text1"/>
          <w:kern w:val="0"/>
          <w:sz w:val="24"/>
          <w:szCs w:val="24"/>
          <w:lang w:val="en-US" w:eastAsia="zh-CN"/>
          <w14:textFill>
            <w14:solidFill>
              <w14:schemeClr w14:val="tx1"/>
            </w14:solidFill>
          </w14:textFill>
        </w:rPr>
        <w:t>物，</w:t>
      </w:r>
      <w:r>
        <w:rPr>
          <w:rFonts w:hint="eastAsia" w:ascii="宋体" w:hAnsi="宋体" w:eastAsia="宋体" w:cs="宋体"/>
          <w:color w:val="000000" w:themeColor="text1"/>
          <w:kern w:val="0"/>
          <w:sz w:val="24"/>
          <w:szCs w:val="24"/>
          <w14:textFill>
            <w14:solidFill>
              <w14:schemeClr w14:val="tx1"/>
            </w14:solidFill>
          </w14:textFill>
        </w:rPr>
        <w:t>锅炉燃料燃烧废气</w:t>
      </w:r>
      <w:r>
        <w:rPr>
          <w:rFonts w:hint="eastAsia" w:ascii="宋体" w:hAnsi="宋体" w:cs="宋体"/>
          <w:color w:val="000000" w:themeColor="text1"/>
          <w:kern w:val="0"/>
          <w:sz w:val="24"/>
          <w:szCs w:val="24"/>
          <w:lang w:val="en-US" w:eastAsia="zh-CN"/>
          <w14:textFill>
            <w14:solidFill>
              <w14:schemeClr w14:val="tx1"/>
            </w14:solidFill>
          </w14:textFill>
        </w:rPr>
        <w:t>经</w:t>
      </w:r>
      <w:r>
        <w:rPr>
          <w:rFonts w:hint="eastAsia" w:ascii="宋体" w:hAnsi="宋体" w:eastAsia="宋体" w:cs="宋体"/>
          <w:color w:val="000000" w:themeColor="text1"/>
          <w:kern w:val="0"/>
          <w:sz w:val="24"/>
          <w:szCs w:val="24"/>
          <w14:textFill>
            <w14:solidFill>
              <w14:schemeClr w14:val="tx1"/>
            </w14:solidFill>
          </w14:textFill>
        </w:rPr>
        <w:t>旋风除尘器+布袋除尘器+水膜除尘器</w:t>
      </w:r>
      <w:r>
        <w:rPr>
          <w:rFonts w:hint="eastAsia" w:ascii="宋体" w:hAnsi="宋体" w:cs="宋体"/>
          <w:color w:val="000000" w:themeColor="text1"/>
          <w:kern w:val="0"/>
          <w:sz w:val="24"/>
          <w:szCs w:val="24"/>
          <w:lang w:val="en-US" w:eastAsia="zh-CN"/>
          <w14:textFill>
            <w14:solidFill>
              <w14:schemeClr w14:val="tx1"/>
            </w14:solidFill>
          </w14:textFill>
        </w:rPr>
        <w:t>处理达标后，经</w:t>
      </w:r>
      <w:r>
        <w:rPr>
          <w:rFonts w:hint="eastAsia" w:ascii="宋体" w:hAnsi="宋体" w:eastAsia="宋体" w:cs="宋体"/>
          <w:color w:val="000000" w:themeColor="text1"/>
          <w:kern w:val="0"/>
          <w:sz w:val="24"/>
          <w:szCs w:val="24"/>
          <w14:textFill>
            <w14:solidFill>
              <w14:schemeClr w14:val="tx1"/>
            </w14:solidFill>
          </w14:textFill>
        </w:rPr>
        <w:t>1根30m高排气筒</w:t>
      </w:r>
      <w:r>
        <w:rPr>
          <w:rFonts w:hint="eastAsia" w:ascii="宋体" w:hAnsi="宋体" w:cs="宋体"/>
          <w:color w:val="000000" w:themeColor="text1"/>
          <w:kern w:val="0"/>
          <w:sz w:val="24"/>
          <w:szCs w:val="24"/>
          <w:lang w:val="en-US" w:eastAsia="zh-CN"/>
          <w14:textFill>
            <w14:solidFill>
              <w14:schemeClr w14:val="tx1"/>
            </w14:solidFill>
          </w14:textFill>
        </w:rPr>
        <w:t>（DA003）排出。</w:t>
      </w:r>
      <w:r>
        <w:rPr>
          <w:rFonts w:hint="eastAsia" w:ascii="宋体" w:hAnsi="宋体" w:eastAsia="宋体" w:cs="宋体"/>
          <w:color w:val="000000" w:themeColor="text1"/>
          <w:kern w:val="0"/>
          <w:sz w:val="24"/>
          <w:szCs w:val="24"/>
          <w14:textFill>
            <w14:solidFill>
              <w14:schemeClr w14:val="tx1"/>
            </w14:solidFill>
          </w14:textFill>
        </w:rPr>
        <w:t>风机总风量2564.64m3/h，颗粒物处理效率为99%，排气筒内径0.64m。</w:t>
      </w:r>
    </w:p>
    <w:p w14:paraId="2E1937AD">
      <w:pPr>
        <w:spacing w:line="360" w:lineRule="auto"/>
        <w:ind w:firstLine="460" w:firstLineChars="192"/>
        <w:rPr>
          <w:rFonts w:hint="eastAsia" w:ascii="宋体" w:hAnsi="宋体" w:cs="宋体"/>
          <w:color w:val="000000" w:themeColor="text1"/>
          <w:kern w:val="0"/>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lang w:val="en-US" w:eastAsia="zh-CN"/>
          <w14:textFill>
            <w14:solidFill>
              <w14:schemeClr w14:val="tx1"/>
            </w14:solidFill>
          </w14:textFill>
        </w:rPr>
        <w:t>②松香溶解、蒸馏过程有机废气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w:t>
      </w:r>
    </w:p>
    <w:p w14:paraId="3E3A9695">
      <w:pPr>
        <w:spacing w:line="360" w:lineRule="auto"/>
        <w:ind w:firstLine="460" w:firstLineChars="192"/>
        <w:rPr>
          <w:rFonts w:hint="default" w:ascii="宋体" w:hAnsi="宋体" w:cs="宋体"/>
          <w:color w:val="000000" w:themeColor="text1"/>
          <w:kern w:val="0"/>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lang w:val="en-US" w:eastAsia="zh-CN"/>
          <w14:textFill>
            <w14:solidFill>
              <w14:schemeClr w14:val="tx1"/>
            </w14:solidFill>
          </w14:textFill>
        </w:rPr>
        <w:t>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主要废气为非甲烷总烃，整个松香生产线为密闭生产管道收集，在每个溶解锅、蒸馏锅排气口设计风机及管道，配套总风机风量为5400m3/h，收集效率为95%，除尘效率为80%，使用管道及密闭空间收集后采用冷凝法处理达标，从1根15m排气筒（DA002）排放。</w:t>
      </w:r>
    </w:p>
    <w:p w14:paraId="53716188">
      <w:pPr>
        <w:spacing w:line="360" w:lineRule="auto"/>
        <w:ind w:firstLine="460" w:firstLineChars="192"/>
        <w:rPr>
          <w:rFonts w:hint="eastAsia" w:ascii="宋体" w:hAnsi="宋体" w:cs="宋体"/>
          <w:color w:val="000000" w:themeColor="text1"/>
          <w:kern w:val="0"/>
          <w:sz w:val="24"/>
          <w:szCs w:val="24"/>
          <w:lang w:eastAsia="zh-CN"/>
          <w14:textFill>
            <w14:solidFill>
              <w14:schemeClr w14:val="tx1"/>
            </w14:solidFill>
          </w14:textFill>
        </w:rPr>
      </w:pPr>
      <w:r>
        <w:rPr>
          <w:rFonts w:hint="eastAsia" w:ascii="宋体" w:hAnsi="宋体" w:cs="宋体"/>
          <w:color w:val="000000" w:themeColor="text1"/>
          <w:kern w:val="0"/>
          <w:sz w:val="24"/>
          <w:szCs w:val="24"/>
          <w:lang w:val="en-US" w:eastAsia="zh-CN"/>
          <w14:textFill>
            <w14:solidFill>
              <w14:schemeClr w14:val="tx1"/>
            </w14:solidFill>
          </w14:textFill>
        </w:rPr>
        <w:t>③</w:t>
      </w:r>
      <w:r>
        <w:rPr>
          <w:rFonts w:hint="eastAsia" w:ascii="宋体" w:hAnsi="宋体" w:eastAsia="宋体" w:cs="宋体"/>
          <w:color w:val="000000" w:themeColor="text1"/>
          <w:kern w:val="0"/>
          <w:sz w:val="24"/>
          <w:szCs w:val="24"/>
          <w14:textFill>
            <w14:solidFill>
              <w14:schemeClr w14:val="tx1"/>
            </w14:solidFill>
          </w14:textFill>
        </w:rPr>
        <w:t>投料粉尘</w:t>
      </w:r>
      <w:r>
        <w:rPr>
          <w:rFonts w:hint="eastAsia" w:ascii="宋体" w:hAnsi="宋体" w:cs="宋体"/>
          <w:color w:val="000000" w:themeColor="text1"/>
          <w:kern w:val="0"/>
          <w:sz w:val="24"/>
          <w:szCs w:val="24"/>
          <w:lang w:eastAsia="zh-CN"/>
          <w14:textFill>
            <w14:solidFill>
              <w14:schemeClr w14:val="tx1"/>
            </w14:solidFill>
          </w14:textFill>
        </w:rPr>
        <w:t>：</w:t>
      </w:r>
    </w:p>
    <w:p w14:paraId="7E6E3980">
      <w:pPr>
        <w:spacing w:line="360" w:lineRule="auto"/>
        <w:ind w:firstLine="460" w:firstLineChars="192"/>
        <w:rPr>
          <w:rFonts w:hint="default" w:ascii="宋体" w:hAnsi="宋体" w:cs="宋体"/>
          <w:color w:val="000000" w:themeColor="text1"/>
          <w:kern w:val="0"/>
          <w:sz w:val="24"/>
          <w:szCs w:val="24"/>
          <w:lang w:val="en-US" w:eastAsia="zh-CN"/>
          <w14:textFill>
            <w14:solidFill>
              <w14:schemeClr w14:val="tx1"/>
            </w14:solidFill>
          </w14:textFill>
        </w:rPr>
      </w:pPr>
      <w:r>
        <w:rPr>
          <w:rFonts w:hint="eastAsia" w:ascii="宋体" w:hAnsi="宋体" w:cs="宋体"/>
          <w:color w:val="000000" w:themeColor="text1"/>
          <w:kern w:val="0"/>
          <w:sz w:val="24"/>
          <w:szCs w:val="24"/>
          <w:lang w:val="en-US" w:eastAsia="zh-CN"/>
          <w14:textFill>
            <w14:solidFill>
              <w14:schemeClr w14:val="tx1"/>
            </w14:solidFill>
          </w14:textFill>
        </w:rPr>
        <w:t>投料产生的粉状主要为颗粒物，投料过程中（投料槽、皮带运输投料口）上方均配置收尘罩及吸尘管吸尘设施，用于收集投料生产过程中产生的粉尘。收集的粉尘通过管道收集后最终进入1套脉冲布袋除尘器4000m3/h，收集效率为95%，除尘效率为99%，粉尘经处理后由1根15m高排气筒（DA001）排放。</w:t>
      </w:r>
    </w:p>
    <w:p w14:paraId="76F488AE">
      <w:pPr>
        <w:spacing w:line="360" w:lineRule="auto"/>
        <w:ind w:firstLine="460" w:firstLineChars="192"/>
        <w:rPr>
          <w:rFonts w:hint="eastAsia" w:ascii="宋体" w:hAnsi="宋体" w:eastAsia="宋体" w:cs="宋体"/>
          <w:color w:val="000000" w:themeColor="text1"/>
          <w:kern w:val="0"/>
          <w:sz w:val="24"/>
          <w:szCs w:val="24"/>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（3）危险废物暂存间环境风险防范与应急措施</w:t>
      </w:r>
      <w:bookmarkEnd w:id="131"/>
    </w:p>
    <w:p w14:paraId="778EFA91">
      <w:pPr>
        <w:spacing w:line="360" w:lineRule="auto"/>
        <w:ind w:firstLine="460" w:firstLineChars="192"/>
        <w:rPr>
          <w:rFonts w:hint="eastAsia" w:ascii="宋体" w:hAnsi="宋体" w:eastAsia="宋体" w:cs="宋体"/>
          <w:color w:val="000000" w:themeColor="text1"/>
          <w:kern w:val="0"/>
          <w:sz w:val="24"/>
          <w:szCs w:val="24"/>
          <w:lang w:eastAsia="zh-CN"/>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危险废物收集、暂存和管理措施严格按照《危险废物贮存污染控制标准》（GB18597-20</w:t>
      </w:r>
      <w:r>
        <w:rPr>
          <w:rFonts w:hint="eastAsia" w:ascii="宋体" w:hAnsi="宋体" w:cs="宋体"/>
          <w:color w:val="000000" w:themeColor="text1"/>
          <w:kern w:val="0"/>
          <w:sz w:val="24"/>
          <w:szCs w:val="24"/>
          <w:lang w:val="en-US" w:eastAsia="zh-CN"/>
          <w14:textFill>
            <w14:solidFill>
              <w14:schemeClr w14:val="tx1"/>
            </w14:solidFill>
          </w14:textFill>
        </w:rPr>
        <w:t>23</w:t>
      </w:r>
      <w:r>
        <w:rPr>
          <w:rFonts w:hint="eastAsia" w:ascii="宋体" w:hAnsi="宋体" w:eastAsia="宋体" w:cs="宋体"/>
          <w:color w:val="000000" w:themeColor="text1"/>
          <w:kern w:val="0"/>
          <w:sz w:val="24"/>
          <w:szCs w:val="24"/>
          <w14:textFill>
            <w14:solidFill>
              <w14:schemeClr w14:val="tx1"/>
            </w14:solidFill>
          </w14:textFill>
        </w:rPr>
        <w:t>）及修改单标准执行，目前公司已经设置相应的备品、备</w:t>
      </w:r>
      <w:r>
        <w:rPr>
          <w:rFonts w:hint="eastAsia" w:ascii="宋体" w:hAnsi="宋体" w:eastAsia="宋体" w:cs="宋体"/>
          <w:color w:val="000000" w:themeColor="text1"/>
          <w:kern w:val="0"/>
          <w:sz w:val="24"/>
          <w:szCs w:val="24"/>
          <w:lang w:eastAsia="zh-CN"/>
          <w14:textFill>
            <w14:solidFill>
              <w14:schemeClr w14:val="tx1"/>
            </w14:solidFill>
          </w14:textFill>
        </w:rPr>
        <w:t>件，</w:t>
      </w:r>
      <w:r>
        <w:rPr>
          <w:rFonts w:hint="eastAsia" w:ascii="宋体" w:hAnsi="宋体" w:eastAsia="宋体" w:cs="宋体"/>
          <w:color w:val="000000" w:themeColor="text1"/>
          <w:kern w:val="0"/>
          <w:sz w:val="24"/>
          <w:szCs w:val="24"/>
          <w14:textFill>
            <w14:solidFill>
              <w14:schemeClr w14:val="tx1"/>
            </w14:solidFill>
          </w14:textFill>
        </w:rPr>
        <w:t>危险废物分类收集，分类贮存，委托有资质单位定期清运处置</w:t>
      </w:r>
      <w:r>
        <w:rPr>
          <w:rFonts w:hint="eastAsia" w:ascii="宋体" w:hAnsi="宋体" w:eastAsia="宋体" w:cs="宋体"/>
          <w:color w:val="000000" w:themeColor="text1"/>
          <w:kern w:val="0"/>
          <w:sz w:val="24"/>
          <w:szCs w:val="24"/>
          <w:lang w:eastAsia="zh-CN"/>
          <w14:textFill>
            <w14:solidFill>
              <w14:schemeClr w14:val="tx1"/>
            </w14:solidFill>
          </w14:textFill>
        </w:rPr>
        <w:t>；</w:t>
      </w:r>
      <w:r>
        <w:rPr>
          <w:rFonts w:hint="eastAsia" w:ascii="宋体" w:hAnsi="宋体" w:eastAsia="宋体" w:cs="宋体"/>
          <w:color w:val="000000" w:themeColor="text1"/>
          <w:kern w:val="0"/>
          <w:sz w:val="24"/>
          <w:szCs w:val="24"/>
          <w:lang w:val="en-US" w:eastAsia="zh-CN"/>
          <w14:textFill>
            <w14:solidFill>
              <w14:schemeClr w14:val="tx1"/>
            </w14:solidFill>
          </w14:textFill>
        </w:rPr>
        <w:t>设</w:t>
      </w:r>
      <w:r>
        <w:rPr>
          <w:rFonts w:hint="eastAsia" w:ascii="宋体" w:hAnsi="宋体" w:eastAsia="宋体" w:cs="宋体"/>
          <w:color w:val="000000" w:themeColor="text1"/>
          <w:kern w:val="0"/>
          <w:sz w:val="24"/>
          <w:szCs w:val="24"/>
          <w14:textFill>
            <w14:solidFill>
              <w14:schemeClr w14:val="tx1"/>
            </w14:solidFill>
          </w14:textFill>
        </w:rPr>
        <w:t>台账登记</w:t>
      </w:r>
      <w:r>
        <w:rPr>
          <w:rFonts w:hint="eastAsia" w:ascii="宋体" w:hAnsi="宋体" w:eastAsia="宋体" w:cs="宋体"/>
          <w:color w:val="000000" w:themeColor="text1"/>
          <w:kern w:val="0"/>
          <w:sz w:val="24"/>
          <w:szCs w:val="24"/>
          <w:lang w:eastAsia="zh-CN"/>
          <w14:textFill>
            <w14:solidFill>
              <w14:schemeClr w14:val="tx1"/>
            </w14:solidFill>
          </w14:textFill>
        </w:rPr>
        <w:t>、</w:t>
      </w:r>
      <w:r>
        <w:rPr>
          <w:rFonts w:hint="eastAsia" w:ascii="宋体" w:hAnsi="宋体" w:eastAsia="宋体" w:cs="宋体"/>
          <w:color w:val="000000" w:themeColor="text1"/>
          <w:kern w:val="0"/>
          <w:sz w:val="24"/>
          <w:szCs w:val="24"/>
          <w:lang w:val="en-US" w:eastAsia="zh-CN"/>
          <w14:textFill>
            <w14:solidFill>
              <w14:schemeClr w14:val="tx1"/>
            </w14:solidFill>
          </w14:textFill>
        </w:rPr>
        <w:t>转移联单</w:t>
      </w:r>
      <w:r>
        <w:rPr>
          <w:rFonts w:hint="eastAsia" w:ascii="宋体" w:hAnsi="宋体" w:eastAsia="宋体" w:cs="宋体"/>
          <w:color w:val="000000" w:themeColor="text1"/>
          <w:kern w:val="0"/>
          <w:sz w:val="24"/>
          <w:szCs w:val="24"/>
          <w14:textFill>
            <w14:solidFill>
              <w14:schemeClr w14:val="tx1"/>
            </w14:solidFill>
          </w14:textFill>
        </w:rPr>
        <w:t>；设置</w:t>
      </w:r>
      <w:r>
        <w:rPr>
          <w:rFonts w:hint="eastAsia" w:ascii="宋体" w:hAnsi="宋体" w:eastAsia="宋体" w:cs="宋体"/>
          <w:color w:val="000000" w:themeColor="text1"/>
          <w:kern w:val="0"/>
          <w:sz w:val="24"/>
          <w:szCs w:val="24"/>
          <w:lang w:val="en-US" w:eastAsia="zh-CN"/>
          <w14:textFill>
            <w14:solidFill>
              <w14:schemeClr w14:val="tx1"/>
            </w14:solidFill>
          </w14:textFill>
        </w:rPr>
        <w:t>危险废物标识牌</w:t>
      </w:r>
      <w:r>
        <w:rPr>
          <w:rFonts w:hint="eastAsia" w:ascii="宋体" w:hAnsi="宋体" w:eastAsia="宋体" w:cs="宋体"/>
          <w:color w:val="000000" w:themeColor="text1"/>
          <w:kern w:val="0"/>
          <w:sz w:val="24"/>
          <w:szCs w:val="24"/>
          <w:lang w:eastAsia="zh-CN"/>
          <w14:textFill>
            <w14:solidFill>
              <w14:schemeClr w14:val="tx1"/>
            </w14:solidFill>
          </w14:textFill>
        </w:rPr>
        <w:t>。</w:t>
      </w:r>
    </w:p>
    <w:p w14:paraId="663AE9D0">
      <w:pPr>
        <w:spacing w:line="360" w:lineRule="auto"/>
        <w:ind w:firstLine="460" w:firstLineChars="192"/>
        <w:rPr>
          <w:rFonts w:hint="eastAsia" w:ascii="宋体" w:hAnsi="宋体" w:eastAsia="宋体" w:cs="宋体"/>
          <w:color w:val="000000" w:themeColor="text1"/>
          <w:kern w:val="0"/>
          <w:sz w:val="24"/>
          <w:szCs w:val="24"/>
          <w14:textFill>
            <w14:solidFill>
              <w14:schemeClr w14:val="tx1"/>
            </w14:solidFill>
          </w14:textFill>
        </w:rPr>
      </w:pPr>
      <w:bookmarkStart w:id="132" w:name="_Toc22646"/>
      <w:r>
        <w:rPr>
          <w:rFonts w:hint="eastAsia" w:ascii="宋体" w:hAnsi="宋体" w:eastAsia="宋体" w:cs="宋体"/>
          <w:color w:val="000000" w:themeColor="text1"/>
          <w:kern w:val="0"/>
          <w:sz w:val="24"/>
          <w:szCs w:val="24"/>
          <w14:textFill>
            <w14:solidFill>
              <w14:schemeClr w14:val="tx1"/>
            </w14:solidFill>
          </w14:textFill>
        </w:rPr>
        <w:t>（4）危险化学品暂存区域环境风险防范与应急措施</w:t>
      </w:r>
      <w:bookmarkEnd w:id="132"/>
    </w:p>
    <w:p w14:paraId="2BADECE1">
      <w:pPr>
        <w:spacing w:line="360" w:lineRule="auto"/>
        <w:ind w:firstLine="460" w:firstLineChars="192"/>
        <w:rPr>
          <w:rFonts w:hint="eastAsia"/>
          <w:color w:val="000000" w:themeColor="text1"/>
          <w:sz w:val="24"/>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①废导热油：</w:t>
      </w:r>
    </w:p>
    <w:p w14:paraId="58A29433">
      <w:pPr>
        <w:spacing w:line="360" w:lineRule="auto"/>
        <w:ind w:firstLine="460" w:firstLineChars="192"/>
        <w:rPr>
          <w:rFonts w:hint="eastAsia"/>
          <w:color w:val="000000" w:themeColor="text1"/>
          <w:sz w:val="24"/>
          <w:lang w:val="en-US" w:eastAsia="zh-CN"/>
          <w14:textFill>
            <w14:solidFill>
              <w14:schemeClr w14:val="tx1"/>
            </w14:solidFill>
          </w14:textFill>
        </w:rPr>
      </w:pPr>
      <w:r>
        <w:rPr>
          <w:color w:val="000000" w:themeColor="text1"/>
          <w:sz w:val="24"/>
          <w14:textFill>
            <w14:solidFill>
              <w14:schemeClr w14:val="tx1"/>
            </w14:solidFill>
          </w14:textFill>
        </w:rPr>
        <w:t>导热油炉中的导热油</w:t>
      </w:r>
      <w:r>
        <w:rPr>
          <w:rFonts w:hint="eastAsia"/>
          <w:color w:val="000000" w:themeColor="text1"/>
          <w:sz w:val="24"/>
          <w:lang w:val="en-US" w:eastAsia="zh-CN"/>
          <w14:textFill>
            <w14:solidFill>
              <w14:schemeClr w14:val="tx1"/>
            </w14:solidFill>
          </w14:textFill>
        </w:rPr>
        <w:t>8-10</w:t>
      </w:r>
      <w:r>
        <w:rPr>
          <w:color w:val="000000" w:themeColor="text1"/>
          <w:sz w:val="24"/>
          <w14:textFill>
            <w14:solidFill>
              <w14:schemeClr w14:val="tx1"/>
            </w14:solidFill>
          </w14:textFill>
        </w:rPr>
        <w:t>年</w:t>
      </w:r>
      <w:r>
        <w:rPr>
          <w:rFonts w:hint="eastAsia"/>
          <w:color w:val="000000" w:themeColor="text1"/>
          <w:sz w:val="24"/>
          <w:lang w:val="en-US" w:eastAsia="zh-CN"/>
          <w14:textFill>
            <w14:solidFill>
              <w14:schemeClr w14:val="tx1"/>
            </w14:solidFill>
          </w14:textFill>
        </w:rPr>
        <w:t>才</w:t>
      </w:r>
      <w:r>
        <w:rPr>
          <w:color w:val="000000" w:themeColor="text1"/>
          <w:sz w:val="24"/>
          <w14:textFill>
            <w14:solidFill>
              <w14:schemeClr w14:val="tx1"/>
            </w14:solidFill>
          </w14:textFill>
        </w:rPr>
        <w:t>更换一次，</w:t>
      </w:r>
      <w:r>
        <w:rPr>
          <w:rFonts w:hint="eastAsia"/>
          <w:color w:val="000000" w:themeColor="text1"/>
          <w:sz w:val="24"/>
          <w:lang w:val="en-US" w:eastAsia="zh-CN"/>
          <w14:textFill>
            <w14:solidFill>
              <w14:schemeClr w14:val="tx1"/>
            </w14:solidFill>
          </w14:textFill>
        </w:rPr>
        <w:t>且</w:t>
      </w:r>
      <w:r>
        <w:rPr>
          <w:color w:val="000000" w:themeColor="text1"/>
          <w:sz w:val="24"/>
          <w14:textFill>
            <w14:solidFill>
              <w14:schemeClr w14:val="tx1"/>
            </w14:solidFill>
          </w14:textFill>
        </w:rPr>
        <w:t>由厂家</w:t>
      </w:r>
      <w:r>
        <w:rPr>
          <w:rFonts w:hint="eastAsia"/>
          <w:color w:val="000000" w:themeColor="text1"/>
          <w:sz w:val="24"/>
          <w:lang w:val="en-US" w:eastAsia="zh-CN"/>
          <w14:textFill>
            <w14:solidFill>
              <w14:schemeClr w14:val="tx1"/>
            </w14:solidFill>
          </w14:textFill>
        </w:rPr>
        <w:t>检修设备时</w:t>
      </w:r>
      <w:r>
        <w:rPr>
          <w:color w:val="000000" w:themeColor="text1"/>
          <w:sz w:val="24"/>
          <w14:textFill>
            <w14:solidFill>
              <w14:schemeClr w14:val="tx1"/>
            </w14:solidFill>
          </w14:textFill>
        </w:rPr>
        <w:t>更换</w:t>
      </w:r>
      <w:r>
        <w:rPr>
          <w:rFonts w:hint="eastAsia"/>
          <w:color w:val="000000" w:themeColor="text1"/>
          <w:sz w:val="24"/>
          <w:lang w:val="en-US" w:eastAsia="zh-CN"/>
          <w14:textFill>
            <w14:solidFill>
              <w14:schemeClr w14:val="tx1"/>
            </w14:solidFill>
          </w14:textFill>
        </w:rPr>
        <w:t>直接带走，不留存厂内</w:t>
      </w:r>
      <w:r>
        <w:rPr>
          <w:color w:val="000000" w:themeColor="text1"/>
          <w:sz w:val="24"/>
          <w14:textFill>
            <w14:solidFill>
              <w14:schemeClr w14:val="tx1"/>
            </w14:solidFill>
          </w14:textFill>
        </w:rPr>
        <w:t>。</w:t>
      </w:r>
    </w:p>
    <w:p w14:paraId="2A14C9C0">
      <w:pPr>
        <w:spacing w:line="360" w:lineRule="auto"/>
        <w:ind w:firstLine="460" w:firstLineChars="192"/>
        <w:rPr>
          <w:rFonts w:hint="eastAsia"/>
          <w:color w:val="000000" w:themeColor="text1"/>
          <w:sz w:val="24"/>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②废机油（废矿物油）：</w:t>
      </w:r>
    </w:p>
    <w:p w14:paraId="023BE8C0">
      <w:pPr>
        <w:spacing w:line="360" w:lineRule="auto"/>
        <w:ind w:firstLine="460" w:firstLineChars="192"/>
        <w:rPr>
          <w:rFonts w:hint="eastAsia"/>
          <w:color w:val="000000" w:themeColor="text1"/>
          <w:sz w:val="24"/>
          <w:lang w:val="en-US" w:eastAsia="zh-CN"/>
          <w14:textFill>
            <w14:solidFill>
              <w14:schemeClr w14:val="tx1"/>
            </w14:solidFill>
          </w14:textFill>
        </w:rPr>
      </w:pPr>
      <w:r>
        <w:rPr>
          <w:rFonts w:hint="eastAsia"/>
          <w:color w:val="000000" w:themeColor="text1"/>
          <w:sz w:val="24"/>
          <w:lang w:val="en-US" w:eastAsia="zh-CN"/>
          <w14:textFill>
            <w14:solidFill>
              <w14:schemeClr w14:val="tx1"/>
            </w14:solidFill>
          </w14:textFill>
        </w:rPr>
        <w:t>机械设备需定期进行维修保养，该过程会产生废机油，产生总量为0.02t/a，根据《国家危险废物名录》（2025年版）》，废机油属于HW08废矿物油与含矿物油废物类危险废物，危废代码为900-214-08；暂存于危险废物暂存间，定期委托有资质的单位清运处置，对周边环境影响较小。</w:t>
      </w:r>
    </w:p>
    <w:p w14:paraId="209F897C">
      <w:pPr>
        <w:pStyle w:val="60"/>
        <w:snapToGrid w:val="0"/>
        <w:spacing w:line="360" w:lineRule="auto"/>
        <w:ind w:firstLine="480" w:firstLineChars="200"/>
        <w:rPr>
          <w:rFonts w:hint="default" w:ascii="宋体" w:hAnsi="宋体" w:eastAsia="宋体" w:cs="宋体"/>
          <w:color w:val="000000" w:themeColor="text1"/>
          <w:kern w:val="0"/>
          <w:sz w:val="24"/>
          <w:szCs w:val="24"/>
          <w:lang w:val="en-US" w:eastAsia="zh-CN"/>
          <w14:textFill>
            <w14:solidFill>
              <w14:schemeClr w14:val="tx1"/>
            </w14:solidFill>
          </w14:textFill>
        </w:rPr>
      </w:pPr>
      <w:r>
        <w:rPr>
          <w:rFonts w:hint="eastAsia" w:eastAsia="宋体"/>
          <w:color w:val="000000" w:themeColor="text1"/>
          <w:sz w:val="24"/>
          <w:szCs w:val="24"/>
          <w:lang w:val="en-US" w:eastAsia="zh-CN"/>
          <w14:textFill>
            <w14:solidFill>
              <w14:schemeClr w14:val="tx1"/>
            </w14:solidFill>
          </w14:textFill>
        </w:rPr>
        <w:t>针对危险化学品，公司</w:t>
      </w:r>
      <w:r>
        <w:rPr>
          <w:rFonts w:eastAsia="宋体"/>
          <w:color w:val="000000" w:themeColor="text1"/>
          <w:sz w:val="24"/>
          <w:szCs w:val="24"/>
          <w14:textFill>
            <w14:solidFill>
              <w14:schemeClr w14:val="tx1"/>
            </w14:solidFill>
          </w14:textFill>
        </w:rPr>
        <w:t>按照《危险废物贮存污染控制标准》（GB 18597-2023）建设危险废物暂存间，将危险废物分类转入容器内，并粘贴危险废物标签，并做好相应的纪录。对相应的暂存场建设基础防渗设施、防风、防雨、防晒并配备照明设施等，并与厂区内其它生产单元、办公生活区严格区分、单独隔离。对危险废物的转移处理须严格按照生态环境部《危险废物转移管理办法》（部令 第23号）执行。</w:t>
      </w:r>
    </w:p>
    <w:p w14:paraId="12FC9ACC">
      <w:pPr>
        <w:spacing w:line="360" w:lineRule="auto"/>
        <w:ind w:firstLine="460" w:firstLineChars="192"/>
        <w:rPr>
          <w:rFonts w:hint="eastAsia" w:ascii="宋体" w:hAnsi="宋体" w:eastAsia="宋体" w:cs="宋体"/>
          <w:color w:val="000000" w:themeColor="text1"/>
          <w:kern w:val="0"/>
          <w:sz w:val="24"/>
          <w:szCs w:val="24"/>
          <w14:textFill>
            <w14:solidFill>
              <w14:schemeClr w14:val="tx1"/>
            </w14:solidFill>
          </w14:textFill>
        </w:rPr>
      </w:pPr>
      <w:bookmarkStart w:id="133" w:name="_Toc14227"/>
      <w:r>
        <w:rPr>
          <w:rFonts w:hint="eastAsia" w:ascii="宋体" w:hAnsi="宋体" w:eastAsia="宋体" w:cs="宋体"/>
          <w:color w:val="000000" w:themeColor="text1"/>
          <w:kern w:val="0"/>
          <w:sz w:val="24"/>
          <w:szCs w:val="24"/>
          <w14:textFill>
            <w14:solidFill>
              <w14:schemeClr w14:val="tx1"/>
            </w14:solidFill>
          </w14:textFill>
        </w:rPr>
        <w:t>（5）火灾及爆炸风险防范与应急措施</w:t>
      </w:r>
      <w:bookmarkEnd w:id="133"/>
    </w:p>
    <w:p w14:paraId="029F953A">
      <w:pPr>
        <w:spacing w:line="360" w:lineRule="auto"/>
        <w:ind w:firstLine="460" w:firstLineChars="192"/>
        <w:rPr>
          <w:rFonts w:hint="eastAsia" w:ascii="宋体" w:hAnsi="宋体" w:eastAsia="宋体" w:cs="Times New Roman"/>
          <w:color w:val="000000" w:themeColor="text1"/>
          <w:kern w:val="2"/>
          <w:sz w:val="24"/>
          <w:szCs w:val="24"/>
          <w:lang w:val="en-US" w:eastAsia="zh-CN" w:bidi="ar-SA"/>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为了有效应对火灾、爆炸的发生，</w:t>
      </w:r>
      <w:r>
        <w:rPr>
          <w:rFonts w:hint="eastAsia" w:ascii="宋体" w:hAnsi="宋体" w:eastAsia="宋体" w:cs="宋体"/>
          <w:color w:val="000000" w:themeColor="text1"/>
          <w:kern w:val="0"/>
          <w:sz w:val="24"/>
          <w:szCs w:val="24"/>
          <w:lang w:eastAsia="zh-CN"/>
          <w14:textFill>
            <w14:solidFill>
              <w14:schemeClr w14:val="tx1"/>
            </w14:solidFill>
          </w14:textFill>
        </w:rPr>
        <w:t>公司配备了</w:t>
      </w:r>
      <w:r>
        <w:rPr>
          <w:rFonts w:hint="eastAsia" w:ascii="宋体" w:hAnsi="宋体" w:cs="宋体"/>
          <w:color w:val="000000" w:themeColor="text1"/>
          <w:kern w:val="0"/>
          <w:sz w:val="24"/>
          <w:szCs w:val="24"/>
          <w:lang w:val="en-US" w:eastAsia="zh-CN"/>
          <w14:textFill>
            <w14:solidFill>
              <w14:schemeClr w14:val="tx1"/>
            </w14:solidFill>
          </w14:textFill>
        </w:rPr>
        <w:t>消防水池，</w:t>
      </w:r>
      <w:r>
        <w:rPr>
          <w:rFonts w:hint="eastAsia" w:ascii="宋体" w:hAnsi="宋体" w:eastAsia="宋体" w:cs="宋体"/>
          <w:color w:val="000000" w:themeColor="text1"/>
          <w:kern w:val="0"/>
          <w:sz w:val="24"/>
          <w:szCs w:val="24"/>
          <w14:textFill>
            <w14:solidFill>
              <w14:schemeClr w14:val="tx1"/>
            </w14:solidFill>
          </w14:textFill>
        </w:rPr>
        <w:t>消防水源为园区管网水，水量水压能满足消防要求</w:t>
      </w:r>
      <w:r>
        <w:rPr>
          <w:color w:val="000000" w:themeColor="text1"/>
          <w:kern w:val="0"/>
          <w:szCs w:val="21"/>
          <w14:textFill>
            <w14:solidFill>
              <w14:schemeClr w14:val="tx1"/>
            </w14:solidFill>
          </w14:textFill>
        </w:rPr>
        <w:t>。</w:t>
      </w:r>
      <w:r>
        <w:rPr>
          <w:rFonts w:hint="eastAsia" w:ascii="宋体" w:hAnsi="宋体" w:eastAsia="宋体" w:cs="宋体"/>
          <w:color w:val="000000" w:themeColor="text1"/>
          <w:kern w:val="0"/>
          <w:sz w:val="24"/>
          <w:szCs w:val="24"/>
          <w14:textFill>
            <w14:solidFill>
              <w14:schemeClr w14:val="tx1"/>
            </w14:solidFill>
          </w14:textFill>
        </w:rPr>
        <w:t>在各区均配设了干粉灭火器、消防栓及自动报警灭火系统，</w:t>
      </w:r>
      <w:r>
        <w:rPr>
          <w:rFonts w:hint="eastAsia" w:ascii="宋体" w:hAnsi="宋体" w:cs="宋体"/>
          <w:color w:val="000000" w:themeColor="text1"/>
          <w:kern w:val="0"/>
          <w:sz w:val="24"/>
          <w:szCs w:val="24"/>
          <w:lang w:val="en-US" w:eastAsia="zh-CN"/>
          <w14:textFill>
            <w14:solidFill>
              <w14:schemeClr w14:val="tx1"/>
            </w14:solidFill>
          </w14:textFill>
        </w:rPr>
        <w:t>同时</w:t>
      </w:r>
      <w:r>
        <w:rPr>
          <w:rFonts w:hint="eastAsia" w:ascii="宋体" w:hAnsi="宋体" w:eastAsia="宋体" w:cs="宋体"/>
          <w:color w:val="000000" w:themeColor="text1"/>
          <w:kern w:val="0"/>
          <w:sz w:val="24"/>
          <w:szCs w:val="24"/>
          <w14:textFill>
            <w14:solidFill>
              <w14:schemeClr w14:val="tx1"/>
            </w14:solidFill>
          </w14:textFill>
        </w:rPr>
        <w:t>在车间设有安全消防和人员疏散通道，一旦发生火灾险情，人员可及时疏散撤离，便于消防工作顺利进行。同时火灾一旦发生，立即将消防水池中的水抽至火灾事故现场。</w:t>
      </w:r>
    </w:p>
    <w:p w14:paraId="675D7A5F">
      <w:pPr>
        <w:pStyle w:val="9"/>
        <w:keepNext/>
        <w:keepLines/>
        <w:spacing w:before="260" w:beforeLines="0" w:after="260" w:afterLines="0" w:line="416" w:lineRule="auto"/>
        <w:ind w:firstLine="0" w:firstLineChars="0"/>
        <w:rPr>
          <w:rFonts w:hint="eastAsia" w:ascii="宋体" w:hAnsi="宋体" w:eastAsia="宋体" w:cs="宋体"/>
          <w:b/>
          <w:bCs/>
          <w:color w:val="000000" w:themeColor="text1"/>
          <w:kern w:val="2"/>
          <w:sz w:val="28"/>
          <w:szCs w:val="28"/>
          <w:lang w:eastAsia="zh-CN"/>
          <w14:textFill>
            <w14:solidFill>
              <w14:schemeClr w14:val="tx1"/>
            </w14:solidFill>
          </w14:textFill>
        </w:rPr>
      </w:pPr>
      <w:bookmarkStart w:id="134" w:name="_Toc27543"/>
      <w:bookmarkStart w:id="135" w:name="_Toc488779610"/>
      <w:bookmarkStart w:id="136" w:name="_Toc8844"/>
      <w:bookmarkStart w:id="137" w:name="_Toc16907"/>
      <w:bookmarkStart w:id="138" w:name="_Toc17106"/>
      <w:bookmarkStart w:id="139" w:name="_Toc15810"/>
      <w:bookmarkStart w:id="140" w:name="_Toc13642"/>
      <w:bookmarkStart w:id="141" w:name="_Toc2233"/>
      <w:bookmarkStart w:id="142" w:name="_Toc3913"/>
      <w:r>
        <w:rPr>
          <w:rFonts w:hint="eastAsia" w:ascii="宋体" w:hAnsi="宋体" w:eastAsia="宋体" w:cs="宋体"/>
          <w:b/>
          <w:bCs/>
          <w:color w:val="000000" w:themeColor="text1"/>
          <w:kern w:val="2"/>
          <w:sz w:val="28"/>
          <w:szCs w:val="28"/>
          <w:lang w:eastAsia="zh-CN"/>
          <w14:textFill>
            <w14:solidFill>
              <w14:schemeClr w14:val="tx1"/>
            </w14:solidFill>
          </w14:textFill>
        </w:rPr>
        <w:t>3.7现有</w:t>
      </w:r>
      <w:bookmarkEnd w:id="134"/>
      <w:bookmarkEnd w:id="135"/>
      <w:bookmarkEnd w:id="136"/>
      <w:bookmarkEnd w:id="137"/>
      <w:bookmarkEnd w:id="138"/>
      <w:bookmarkEnd w:id="139"/>
      <w:bookmarkEnd w:id="140"/>
      <w:r>
        <w:rPr>
          <w:rFonts w:hint="eastAsia" w:ascii="宋体" w:hAnsi="宋体" w:eastAsia="宋体" w:cs="宋体"/>
          <w:b/>
          <w:bCs/>
          <w:color w:val="000000" w:themeColor="text1"/>
          <w:kern w:val="2"/>
          <w:sz w:val="28"/>
          <w:szCs w:val="28"/>
          <w:lang w:eastAsia="zh-CN"/>
          <w14:textFill>
            <w14:solidFill>
              <w14:schemeClr w14:val="tx1"/>
            </w14:solidFill>
          </w14:textFill>
        </w:rPr>
        <w:t>应急物资与装备、救援队伍情况</w:t>
      </w:r>
      <w:bookmarkEnd w:id="141"/>
      <w:bookmarkEnd w:id="142"/>
    </w:p>
    <w:p w14:paraId="5735AF50">
      <w:pPr>
        <w:pStyle w:val="40"/>
        <w:snapToGrid w:val="0"/>
        <w:spacing w:line="360" w:lineRule="auto"/>
        <w:ind w:firstLine="560"/>
        <w:rPr>
          <w:rFonts w:hint="eastAsia" w:ascii="宋体" w:hAnsi="宋体" w:cs="仿宋"/>
          <w:color w:val="000000" w:themeColor="text1"/>
          <w:sz w:val="24"/>
          <w:szCs w:val="24"/>
          <w:lang w:val="zh-CN"/>
          <w14:textFill>
            <w14:solidFill>
              <w14:schemeClr w14:val="tx1"/>
            </w14:solidFill>
          </w14:textFill>
        </w:rPr>
      </w:pPr>
      <w:r>
        <w:rPr>
          <w:rFonts w:hint="eastAsia" w:ascii="宋体" w:hAnsi="宋体" w:cs="仿宋"/>
          <w:color w:val="000000" w:themeColor="text1"/>
          <w:sz w:val="24"/>
          <w:szCs w:val="24"/>
          <w:lang w:val="zh-CN"/>
          <w14:textFill>
            <w14:solidFill>
              <w14:schemeClr w14:val="tx1"/>
            </w14:solidFill>
          </w14:textFill>
        </w:rPr>
        <w:t>安宁泰丰林化工有限公司应急指挥领导小组负责利用公司的全部人力资源，规划、组建应急救援队伍并组织实施演练，形成一支熟悉本企业事故类型、生产现场情况和能熟练使用所配备的应急救援器材、设备的，有适应企业应急所需技能的兼职应急救援队伍；各科室、车间无条件地服从应急指挥部的命令，所有参加抢险救援的人员必须积极主动，不得推诿扯皮，服从指挥，杜绝盲从蛮干。公司应急队伍及外部协助情况见表</w:t>
      </w:r>
      <w:r>
        <w:rPr>
          <w:rFonts w:hint="eastAsia" w:ascii="宋体" w:hAnsi="宋体" w:cs="仿宋"/>
          <w:color w:val="000000" w:themeColor="text1"/>
          <w:sz w:val="24"/>
          <w:szCs w:val="24"/>
          <w14:textFill>
            <w14:solidFill>
              <w14:schemeClr w14:val="tx1"/>
            </w14:solidFill>
          </w14:textFill>
        </w:rPr>
        <w:t>2-</w:t>
      </w:r>
      <w:r>
        <w:rPr>
          <w:rFonts w:hint="eastAsia" w:ascii="宋体" w:hAnsi="宋体" w:cs="仿宋"/>
          <w:color w:val="000000" w:themeColor="text1"/>
          <w:sz w:val="24"/>
          <w:szCs w:val="24"/>
          <w:lang w:val="en-US" w:eastAsia="zh-CN"/>
          <w14:textFill>
            <w14:solidFill>
              <w14:schemeClr w14:val="tx1"/>
            </w14:solidFill>
          </w14:textFill>
        </w:rPr>
        <w:t>5</w:t>
      </w:r>
      <w:r>
        <w:rPr>
          <w:rFonts w:hint="eastAsia" w:ascii="宋体" w:hAnsi="宋体" w:cs="仿宋"/>
          <w:color w:val="000000" w:themeColor="text1"/>
          <w:sz w:val="24"/>
          <w:szCs w:val="24"/>
          <w14:textFill>
            <w14:solidFill>
              <w14:schemeClr w14:val="tx1"/>
            </w14:solidFill>
          </w14:textFill>
        </w:rPr>
        <w:t>，应急救援器材设备配备一览表见2-</w:t>
      </w:r>
      <w:r>
        <w:rPr>
          <w:rFonts w:hint="eastAsia" w:ascii="宋体" w:hAnsi="宋体" w:cs="仿宋"/>
          <w:color w:val="000000" w:themeColor="text1"/>
          <w:sz w:val="24"/>
          <w:szCs w:val="24"/>
          <w:lang w:val="en-US" w:eastAsia="zh-CN"/>
          <w14:textFill>
            <w14:solidFill>
              <w14:schemeClr w14:val="tx1"/>
            </w14:solidFill>
          </w14:textFill>
        </w:rPr>
        <w:t>6</w:t>
      </w:r>
    </w:p>
    <w:p w14:paraId="5991C9F4">
      <w:pPr>
        <w:autoSpaceDE w:val="0"/>
        <w:autoSpaceDN w:val="0"/>
        <w:adjustRightInd w:val="0"/>
        <w:ind w:left="1" w:firstLine="420" w:firstLineChars="200"/>
        <w:jc w:val="center"/>
        <w:rPr>
          <w:rFonts w:hint="eastAsia" w:ascii="宋体" w:hAnsi="宋体" w:cs="仿宋"/>
          <w:color w:val="000000" w:themeColor="text1"/>
          <w:kern w:val="0"/>
          <w:szCs w:val="21"/>
          <w:lang w:val="zh-CN"/>
          <w14:textFill>
            <w14:solidFill>
              <w14:schemeClr w14:val="tx1"/>
            </w14:solidFill>
          </w14:textFill>
        </w:rPr>
      </w:pPr>
      <w:r>
        <w:rPr>
          <w:rFonts w:hint="eastAsia" w:ascii="宋体" w:hAnsi="宋体" w:cs="仿宋"/>
          <w:color w:val="000000" w:themeColor="text1"/>
          <w:kern w:val="0"/>
          <w:szCs w:val="21"/>
          <w:lang w:val="zh-CN"/>
          <w14:textFill>
            <w14:solidFill>
              <w14:schemeClr w14:val="tx1"/>
            </w14:solidFill>
          </w14:textFill>
        </w:rPr>
        <w:t>表</w:t>
      </w:r>
      <w:r>
        <w:rPr>
          <w:rFonts w:hint="eastAsia" w:ascii="宋体" w:hAnsi="宋体" w:cs="仿宋"/>
          <w:color w:val="000000" w:themeColor="text1"/>
          <w:kern w:val="0"/>
          <w:szCs w:val="21"/>
          <w:lang w:val="en-US" w:eastAsia="zh-CN"/>
          <w14:textFill>
            <w14:solidFill>
              <w14:schemeClr w14:val="tx1"/>
            </w14:solidFill>
          </w14:textFill>
        </w:rPr>
        <w:t>3</w:t>
      </w:r>
      <w:r>
        <w:rPr>
          <w:rFonts w:hint="eastAsia" w:ascii="宋体" w:hAnsi="宋体" w:cs="仿宋"/>
          <w:color w:val="000000" w:themeColor="text1"/>
          <w:kern w:val="0"/>
          <w:szCs w:val="21"/>
          <w14:textFill>
            <w14:solidFill>
              <w14:schemeClr w14:val="tx1"/>
            </w14:solidFill>
          </w14:textFill>
        </w:rPr>
        <w:t>-</w:t>
      </w:r>
      <w:r>
        <w:rPr>
          <w:rFonts w:hint="eastAsia" w:ascii="宋体" w:hAnsi="宋体" w:cs="仿宋"/>
          <w:color w:val="000000" w:themeColor="text1"/>
          <w:kern w:val="0"/>
          <w:szCs w:val="21"/>
          <w:lang w:val="en-US" w:eastAsia="zh-CN"/>
          <w14:textFill>
            <w14:solidFill>
              <w14:schemeClr w14:val="tx1"/>
            </w14:solidFill>
          </w14:textFill>
        </w:rPr>
        <w:t>7</w:t>
      </w:r>
      <w:r>
        <w:rPr>
          <w:rFonts w:hint="eastAsia" w:ascii="宋体" w:hAnsi="宋体" w:cs="仿宋"/>
          <w:color w:val="000000" w:themeColor="text1"/>
          <w:kern w:val="0"/>
          <w:szCs w:val="21"/>
          <w:lang w:val="zh-CN"/>
          <w14:textFill>
            <w14:solidFill>
              <w14:schemeClr w14:val="tx1"/>
            </w14:solidFill>
          </w14:textFill>
        </w:rPr>
        <w:t xml:space="preserve"> </w:t>
      </w:r>
      <w:r>
        <w:rPr>
          <w:rFonts w:hint="eastAsia" w:ascii="宋体" w:hAnsi="宋体" w:cs="仿宋"/>
          <w:color w:val="000000" w:themeColor="text1"/>
          <w:kern w:val="0"/>
          <w:szCs w:val="21"/>
          <w14:textFill>
            <w14:solidFill>
              <w14:schemeClr w14:val="tx1"/>
            </w14:solidFill>
          </w14:textFill>
        </w:rPr>
        <w:t xml:space="preserve"> </w:t>
      </w:r>
      <w:r>
        <w:rPr>
          <w:rFonts w:hint="eastAsia" w:ascii="宋体" w:hAnsi="宋体" w:cs="仿宋"/>
          <w:color w:val="000000" w:themeColor="text1"/>
          <w:kern w:val="0"/>
          <w:szCs w:val="21"/>
          <w:lang w:val="zh-CN"/>
          <w14:textFill>
            <w14:solidFill>
              <w14:schemeClr w14:val="tx1"/>
            </w14:solidFill>
          </w14:textFill>
        </w:rPr>
        <w:t>安宁泰丰林化工有限公司应急队伍及外部协助情况表</w:t>
      </w:r>
    </w:p>
    <w:tbl>
      <w:tblPr>
        <w:tblStyle w:val="23"/>
        <w:tblW w:w="9071" w:type="dxa"/>
        <w:jc w:val="center"/>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Layout w:type="fixed"/>
        <w:tblCellMar>
          <w:top w:w="0" w:type="dxa"/>
          <w:left w:w="108" w:type="dxa"/>
          <w:bottom w:w="0" w:type="dxa"/>
          <w:right w:w="108" w:type="dxa"/>
        </w:tblCellMar>
      </w:tblPr>
      <w:tblGrid>
        <w:gridCol w:w="1958"/>
        <w:gridCol w:w="868"/>
        <w:gridCol w:w="1530"/>
        <w:gridCol w:w="1395"/>
        <w:gridCol w:w="1620"/>
        <w:gridCol w:w="1700"/>
      </w:tblGrid>
      <w:tr w14:paraId="5865DEC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347" w:hRule="atLeast"/>
          <w:jc w:val="center"/>
        </w:trPr>
        <w:tc>
          <w:tcPr>
            <w:tcW w:w="1958" w:type="dxa"/>
            <w:noWrap w:val="0"/>
            <w:vAlign w:val="center"/>
          </w:tcPr>
          <w:p w14:paraId="7F94E1BB">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单位</w:t>
            </w:r>
          </w:p>
        </w:tc>
        <w:tc>
          <w:tcPr>
            <w:tcW w:w="868" w:type="dxa"/>
            <w:noWrap w:val="0"/>
            <w:vAlign w:val="center"/>
          </w:tcPr>
          <w:p w14:paraId="08AD5D66">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姓名</w:t>
            </w:r>
          </w:p>
        </w:tc>
        <w:tc>
          <w:tcPr>
            <w:tcW w:w="1530" w:type="dxa"/>
            <w:noWrap w:val="0"/>
            <w:vAlign w:val="center"/>
          </w:tcPr>
          <w:p w14:paraId="3C7FE1F2">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应急救援职务</w:t>
            </w:r>
          </w:p>
        </w:tc>
        <w:tc>
          <w:tcPr>
            <w:tcW w:w="1395" w:type="dxa"/>
            <w:noWrap w:val="0"/>
            <w:vAlign w:val="center"/>
          </w:tcPr>
          <w:p w14:paraId="66FC3429">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公司职务</w:t>
            </w:r>
          </w:p>
        </w:tc>
        <w:tc>
          <w:tcPr>
            <w:tcW w:w="1620" w:type="dxa"/>
            <w:noWrap w:val="0"/>
            <w:vAlign w:val="center"/>
          </w:tcPr>
          <w:p w14:paraId="3AE1A398">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手机</w:t>
            </w:r>
          </w:p>
        </w:tc>
        <w:tc>
          <w:tcPr>
            <w:tcW w:w="1700" w:type="dxa"/>
            <w:noWrap w:val="0"/>
            <w:vAlign w:val="center"/>
          </w:tcPr>
          <w:p w14:paraId="0A4F7B54">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办公室电话</w:t>
            </w:r>
          </w:p>
        </w:tc>
      </w:tr>
      <w:tr w14:paraId="593E147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restart"/>
            <w:noWrap w:val="0"/>
            <w:vAlign w:val="center"/>
          </w:tcPr>
          <w:p w14:paraId="5C0B9D91">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cs="宋体"/>
                <w:b w:val="0"/>
                <w:bCs w:val="0"/>
                <w:color w:val="000000" w:themeColor="text1"/>
                <w:sz w:val="21"/>
                <w:szCs w:val="21"/>
                <w:lang w:eastAsia="zh-CN"/>
                <w14:textFill>
                  <w14:solidFill>
                    <w14:schemeClr w14:val="tx1"/>
                  </w14:solidFill>
                </w14:textFill>
              </w:rPr>
              <w:t>安宁泰丰林化工有限公司</w:t>
            </w:r>
          </w:p>
        </w:tc>
        <w:tc>
          <w:tcPr>
            <w:tcW w:w="2398" w:type="dxa"/>
            <w:gridSpan w:val="2"/>
            <w:noWrap w:val="0"/>
            <w:vAlign w:val="center"/>
          </w:tcPr>
          <w:p w14:paraId="1436571E">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应急电话</w:t>
            </w:r>
          </w:p>
        </w:tc>
        <w:tc>
          <w:tcPr>
            <w:tcW w:w="1395" w:type="dxa"/>
            <w:noWrap w:val="0"/>
            <w:vAlign w:val="center"/>
          </w:tcPr>
          <w:p w14:paraId="6CE7E761">
            <w:pPr>
              <w:autoSpaceDE w:val="0"/>
              <w:autoSpaceDN w:val="0"/>
              <w:adjustRightInd w:val="0"/>
              <w:jc w:val="center"/>
              <w:rPr>
                <w:rFonts w:hint="default"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c>
          <w:tcPr>
            <w:tcW w:w="1620" w:type="dxa"/>
            <w:noWrap w:val="0"/>
            <w:vAlign w:val="center"/>
          </w:tcPr>
          <w:p w14:paraId="6D48A9E7">
            <w:pPr>
              <w:autoSpaceDE w:val="0"/>
              <w:autoSpaceDN w:val="0"/>
              <w:adjustRightInd w:val="0"/>
              <w:jc w:val="center"/>
              <w:rPr>
                <w:rFonts w:hint="default" w:cs="宋体"/>
                <w:b w:val="0"/>
                <w:bCs w:val="0"/>
                <w:color w:val="000000" w:themeColor="text1"/>
                <w:szCs w:val="21"/>
                <w:lang w:val="en-US" w:eastAsia="zh-CN"/>
                <w14:textFill>
                  <w14:solidFill>
                    <w14:schemeClr w14:val="tx1"/>
                  </w14:solidFill>
                </w14:textFill>
              </w:rPr>
            </w:pPr>
            <w:r>
              <w:rPr>
                <w:rFonts w:hint="eastAsia" w:ascii="Times New Roman" w:hAnsi="Times New Roman" w:eastAsia="仿宋"/>
                <w:b w:val="0"/>
                <w:bCs w:val="0"/>
                <w:color w:val="000000" w:themeColor="text1"/>
                <w:sz w:val="24"/>
                <w:szCs w:val="24"/>
                <w:lang w:val="en-US" w:eastAsia="zh-CN"/>
                <w14:textFill>
                  <w14:solidFill>
                    <w14:schemeClr w14:val="tx1"/>
                  </w14:solidFill>
                </w14:textFill>
              </w:rPr>
              <w:t>1</w:t>
            </w:r>
            <w:r>
              <w:rPr>
                <w:rFonts w:hint="eastAsia" w:eastAsia="仿宋"/>
                <w:b w:val="0"/>
                <w:bCs w:val="0"/>
                <w:color w:val="000000" w:themeColor="text1"/>
                <w:sz w:val="24"/>
                <w:szCs w:val="24"/>
                <w:lang w:val="en-US" w:eastAsia="zh-CN"/>
                <w14:textFill>
                  <w14:solidFill>
                    <w14:schemeClr w14:val="tx1"/>
                  </w14:solidFill>
                </w14:textFill>
              </w:rPr>
              <w:t>3708492075</w:t>
            </w:r>
          </w:p>
        </w:tc>
        <w:tc>
          <w:tcPr>
            <w:tcW w:w="1700" w:type="dxa"/>
            <w:noWrap w:val="0"/>
            <w:vAlign w:val="center"/>
          </w:tcPr>
          <w:p w14:paraId="3066A2F0">
            <w:pPr>
              <w:autoSpaceDE w:val="0"/>
              <w:autoSpaceDN w:val="0"/>
              <w:adjustRightInd w:val="0"/>
              <w:jc w:val="center"/>
              <w:rPr>
                <w:rFonts w:hint="default"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w:t>
            </w:r>
          </w:p>
        </w:tc>
      </w:tr>
      <w:tr w14:paraId="5959E0B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614E87F2">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1D0F1255">
            <w:pPr>
              <w:jc w:val="center"/>
              <w:rPr>
                <w:rFonts w:hint="eastAsia"/>
                <w:b w:val="0"/>
                <w:bCs w:val="0"/>
                <w:color w:val="000000" w:themeColor="text1"/>
                <w:szCs w:val="21"/>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李啓进</w:t>
            </w:r>
          </w:p>
        </w:tc>
        <w:tc>
          <w:tcPr>
            <w:tcW w:w="1530" w:type="dxa"/>
            <w:noWrap w:val="0"/>
            <w:vAlign w:val="center"/>
          </w:tcPr>
          <w:p w14:paraId="2AD9C5DD">
            <w:pPr>
              <w:jc w:val="center"/>
              <w:rPr>
                <w:rFonts w:hint="eastAsia" w:eastAsia="宋体"/>
                <w:b w:val="0"/>
                <w:bCs w:val="0"/>
                <w:color w:val="000000" w:themeColor="text1"/>
                <w:szCs w:val="21"/>
                <w:lang w:eastAsia="zh-CN"/>
                <w14:textFill>
                  <w14:solidFill>
                    <w14:schemeClr w14:val="tx1"/>
                  </w14:solidFill>
                </w14:textFill>
              </w:rPr>
            </w:pPr>
            <w:r>
              <w:rPr>
                <w:rFonts w:hint="eastAsia"/>
                <w:b w:val="0"/>
                <w:bCs w:val="0"/>
                <w:color w:val="000000" w:themeColor="text1"/>
                <w:szCs w:val="21"/>
                <w14:textFill>
                  <w14:solidFill>
                    <w14:schemeClr w14:val="tx1"/>
                  </w14:solidFill>
                </w14:textFill>
              </w:rPr>
              <w:t>应急领导小组组长</w:t>
            </w:r>
            <w:r>
              <w:rPr>
                <w:rFonts w:hint="eastAsia"/>
                <w:b w:val="0"/>
                <w:bCs w:val="0"/>
                <w:color w:val="000000" w:themeColor="text1"/>
                <w:szCs w:val="21"/>
                <w:lang w:eastAsia="zh-CN"/>
                <w14:textFill>
                  <w14:solidFill>
                    <w14:schemeClr w14:val="tx1"/>
                  </w14:solidFill>
                </w14:textFill>
              </w:rPr>
              <w:t>（</w:t>
            </w:r>
            <w:r>
              <w:rPr>
                <w:rFonts w:hint="eastAsia"/>
                <w:b w:val="0"/>
                <w:bCs w:val="0"/>
                <w:color w:val="000000" w:themeColor="text1"/>
                <w:szCs w:val="21"/>
                <w:lang w:val="en-US" w:eastAsia="zh-CN"/>
                <w14:textFill>
                  <w14:solidFill>
                    <w14:schemeClr w14:val="tx1"/>
                  </w14:solidFill>
                </w14:textFill>
              </w:rPr>
              <w:t>总指挥</w:t>
            </w:r>
            <w:r>
              <w:rPr>
                <w:rFonts w:hint="eastAsia"/>
                <w:b w:val="0"/>
                <w:bCs w:val="0"/>
                <w:color w:val="000000" w:themeColor="text1"/>
                <w:szCs w:val="21"/>
                <w:lang w:eastAsia="zh-CN"/>
                <w14:textFill>
                  <w14:solidFill>
                    <w14:schemeClr w14:val="tx1"/>
                  </w14:solidFill>
                </w14:textFill>
              </w:rPr>
              <w:t>）</w:t>
            </w:r>
          </w:p>
        </w:tc>
        <w:tc>
          <w:tcPr>
            <w:tcW w:w="1395" w:type="dxa"/>
            <w:noWrap w:val="0"/>
            <w:vAlign w:val="center"/>
          </w:tcPr>
          <w:p w14:paraId="5215C3A2">
            <w:pPr>
              <w:jc w:val="center"/>
              <w:rPr>
                <w:rFonts w:hint="eastAsia"/>
                <w:b w:val="0"/>
                <w:bCs w:val="0"/>
                <w:color w:val="000000" w:themeColor="text1"/>
                <w:szCs w:val="21"/>
                <w:lang w:val="en-US" w:eastAsia="zh-CN"/>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总经理</w:t>
            </w:r>
          </w:p>
        </w:tc>
        <w:tc>
          <w:tcPr>
            <w:tcW w:w="1620" w:type="dxa"/>
            <w:noWrap w:val="0"/>
            <w:vAlign w:val="center"/>
          </w:tcPr>
          <w:p w14:paraId="7E8B580D">
            <w:pPr>
              <w:jc w:val="center"/>
              <w:rPr>
                <w:rFonts w:hint="eastAsia"/>
                <w:b w:val="0"/>
                <w:bCs w:val="0"/>
                <w:color w:val="000000" w:themeColor="text1"/>
                <w:szCs w:val="21"/>
                <w:lang w:val="zh-CN"/>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13708492075</w:t>
            </w:r>
          </w:p>
        </w:tc>
        <w:tc>
          <w:tcPr>
            <w:tcW w:w="1700" w:type="dxa"/>
            <w:noWrap w:val="0"/>
            <w:vAlign w:val="center"/>
          </w:tcPr>
          <w:p w14:paraId="0545B2A6">
            <w:pPr>
              <w:autoSpaceDE w:val="0"/>
              <w:autoSpaceDN w:val="0"/>
              <w:adjustRightInd w:val="0"/>
              <w:jc w:val="center"/>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kern w:val="2"/>
                <w:sz w:val="21"/>
                <w:szCs w:val="21"/>
                <w:lang w:val="en-US" w:eastAsia="zh-CN" w:bidi="ar-SA"/>
                <w14:textFill>
                  <w14:solidFill>
                    <w14:schemeClr w14:val="tx1"/>
                  </w14:solidFill>
                </w14:textFill>
              </w:rPr>
              <w:t>--</w:t>
            </w:r>
          </w:p>
        </w:tc>
      </w:tr>
      <w:tr w14:paraId="5DBB8C5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43009B55">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02F54EA9">
            <w:pPr>
              <w:jc w:val="center"/>
              <w:rPr>
                <w:rFonts w:hint="eastAsia"/>
                <w:b w:val="0"/>
                <w:bCs w:val="0"/>
                <w:color w:val="000000" w:themeColor="text1"/>
                <w:szCs w:val="21"/>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李云</w:t>
            </w:r>
          </w:p>
        </w:tc>
        <w:tc>
          <w:tcPr>
            <w:tcW w:w="1530" w:type="dxa"/>
            <w:noWrap w:val="0"/>
            <w:vAlign w:val="center"/>
          </w:tcPr>
          <w:p w14:paraId="39DA43C3">
            <w:pPr>
              <w:jc w:val="center"/>
              <w:rPr>
                <w:rFonts w:hint="eastAsia"/>
                <w:b w:val="0"/>
                <w:bCs w:val="0"/>
                <w:color w:val="000000" w:themeColor="text1"/>
                <w:szCs w:val="21"/>
                <w:lang w:val="zh-CN"/>
                <w14:textFill>
                  <w14:solidFill>
                    <w14:schemeClr w14:val="tx1"/>
                  </w14:solidFill>
                </w14:textFill>
              </w:rPr>
            </w:pPr>
            <w:r>
              <w:rPr>
                <w:rFonts w:hint="eastAsia"/>
                <w:b w:val="0"/>
                <w:bCs w:val="0"/>
                <w:color w:val="000000" w:themeColor="text1"/>
                <w:szCs w:val="21"/>
                <w14:textFill>
                  <w14:solidFill>
                    <w14:schemeClr w14:val="tx1"/>
                  </w14:solidFill>
                </w14:textFill>
              </w:rPr>
              <w:t>副总指挥</w:t>
            </w:r>
          </w:p>
        </w:tc>
        <w:tc>
          <w:tcPr>
            <w:tcW w:w="1395" w:type="dxa"/>
            <w:noWrap w:val="0"/>
            <w:vAlign w:val="center"/>
          </w:tcPr>
          <w:p w14:paraId="41100A80">
            <w:pPr>
              <w:jc w:val="center"/>
              <w:rPr>
                <w:rFonts w:hint="eastAsia"/>
                <w:b w:val="0"/>
                <w:bCs w:val="0"/>
                <w:color w:val="000000" w:themeColor="text1"/>
                <w:szCs w:val="21"/>
                <w:lang w:val="en-US" w:eastAsia="zh-CN"/>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副</w:t>
            </w:r>
            <w:r>
              <w:rPr>
                <w:rFonts w:hint="eastAsia"/>
                <w:b w:val="0"/>
                <w:bCs w:val="0"/>
                <w:color w:val="000000" w:themeColor="text1"/>
                <w:szCs w:val="21"/>
                <w:lang w:val="en-US" w:eastAsia="zh-CN"/>
                <w14:textFill>
                  <w14:solidFill>
                    <w14:schemeClr w14:val="tx1"/>
                  </w14:solidFill>
                </w14:textFill>
              </w:rPr>
              <w:t>总</w:t>
            </w:r>
            <w:r>
              <w:rPr>
                <w:rFonts w:hint="eastAsia"/>
                <w:b w:val="0"/>
                <w:bCs w:val="0"/>
                <w:color w:val="000000" w:themeColor="text1"/>
                <w:szCs w:val="21"/>
                <w:lang w:eastAsia="zh-CN"/>
                <w14:textFill>
                  <w14:solidFill>
                    <w14:schemeClr w14:val="tx1"/>
                  </w14:solidFill>
                </w14:textFill>
              </w:rPr>
              <w:t>经理</w:t>
            </w:r>
          </w:p>
        </w:tc>
        <w:tc>
          <w:tcPr>
            <w:tcW w:w="1620" w:type="dxa"/>
            <w:noWrap w:val="0"/>
            <w:vAlign w:val="center"/>
          </w:tcPr>
          <w:p w14:paraId="1865FC73">
            <w:pPr>
              <w:jc w:val="center"/>
              <w:rPr>
                <w:rFonts w:hint="eastAsia"/>
                <w:b w:val="0"/>
                <w:bCs w:val="0"/>
                <w:color w:val="000000" w:themeColor="text1"/>
                <w:szCs w:val="21"/>
                <w:lang w:val="zh-CN"/>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18288653044</w:t>
            </w:r>
          </w:p>
        </w:tc>
        <w:tc>
          <w:tcPr>
            <w:tcW w:w="1700" w:type="dxa"/>
            <w:noWrap w:val="0"/>
            <w:vAlign w:val="center"/>
          </w:tcPr>
          <w:p w14:paraId="09CA0371">
            <w:pPr>
              <w:autoSpaceDE w:val="0"/>
              <w:autoSpaceDN w:val="0"/>
              <w:adjustRightInd w:val="0"/>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55AA3F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20E522EE">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54E36C0E">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cs="宋体"/>
                <w:b w:val="0"/>
                <w:bCs w:val="0"/>
                <w:color w:val="000000" w:themeColor="text1"/>
                <w:sz w:val="21"/>
                <w:szCs w:val="21"/>
                <w:lang w:eastAsia="zh-CN"/>
                <w14:textFill>
                  <w14:solidFill>
                    <w14:schemeClr w14:val="tx1"/>
                  </w14:solidFill>
                </w14:textFill>
              </w:rPr>
              <w:t>张俊义</w:t>
            </w:r>
          </w:p>
        </w:tc>
        <w:tc>
          <w:tcPr>
            <w:tcW w:w="1530" w:type="dxa"/>
            <w:noWrap w:val="0"/>
            <w:vAlign w:val="center"/>
          </w:tcPr>
          <w:p w14:paraId="1B66ADD8">
            <w:pPr>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b w:val="0"/>
                <w:bCs w:val="0"/>
                <w:color w:val="000000" w:themeColor="text1"/>
                <w:szCs w:val="21"/>
                <w14:textFill>
                  <w14:solidFill>
                    <w14:schemeClr w14:val="tx1"/>
                  </w14:solidFill>
                </w14:textFill>
              </w:rPr>
              <w:t>抢险救援救护组组长</w:t>
            </w:r>
          </w:p>
        </w:tc>
        <w:tc>
          <w:tcPr>
            <w:tcW w:w="1395" w:type="dxa"/>
            <w:noWrap w:val="0"/>
            <w:vAlign w:val="center"/>
          </w:tcPr>
          <w:p w14:paraId="6C67C3F9">
            <w:pPr>
              <w:autoSpaceDE w:val="0"/>
              <w:autoSpaceDN w:val="0"/>
              <w:adjustRightInd w:val="0"/>
              <w:jc w:val="center"/>
              <w:rPr>
                <w:rFonts w:hint="eastAsia" w:ascii="宋体" w:hAnsi="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安全管理员</w:t>
            </w:r>
          </w:p>
        </w:tc>
        <w:tc>
          <w:tcPr>
            <w:tcW w:w="1620" w:type="dxa"/>
            <w:noWrap w:val="0"/>
            <w:vAlign w:val="center"/>
          </w:tcPr>
          <w:p w14:paraId="0769DD59">
            <w:pPr>
              <w:autoSpaceDE w:val="0"/>
              <w:autoSpaceDN w:val="0"/>
              <w:adjustRightInd w:val="0"/>
              <w:jc w:val="center"/>
              <w:rPr>
                <w:rFonts w:hint="eastAsia" w:cs="宋体"/>
                <w:b w:val="0"/>
                <w:bCs w:val="0"/>
                <w:color w:val="000000" w:themeColor="text1"/>
                <w:szCs w:val="21"/>
                <w:lang w:val="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13698760037</w:t>
            </w:r>
          </w:p>
        </w:tc>
        <w:tc>
          <w:tcPr>
            <w:tcW w:w="1700" w:type="dxa"/>
            <w:noWrap w:val="0"/>
            <w:vAlign w:val="center"/>
          </w:tcPr>
          <w:p w14:paraId="190DC1A7">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4EFEBFC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trHeight w:val="90" w:hRule="atLeast"/>
          <w:jc w:val="center"/>
        </w:trPr>
        <w:tc>
          <w:tcPr>
            <w:tcW w:w="1958" w:type="dxa"/>
            <w:vMerge w:val="continue"/>
            <w:noWrap w:val="0"/>
            <w:vAlign w:val="center"/>
          </w:tcPr>
          <w:p w14:paraId="45A58CDE">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6E109359">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cs="宋体"/>
                <w:b w:val="0"/>
                <w:bCs w:val="0"/>
                <w:color w:val="000000" w:themeColor="text1"/>
                <w:sz w:val="21"/>
                <w:szCs w:val="21"/>
                <w:lang w:eastAsia="zh-CN"/>
                <w14:textFill>
                  <w14:solidFill>
                    <w14:schemeClr w14:val="tx1"/>
                  </w14:solidFill>
                </w14:textFill>
              </w:rPr>
              <w:t>梁金荣</w:t>
            </w:r>
          </w:p>
        </w:tc>
        <w:tc>
          <w:tcPr>
            <w:tcW w:w="1530" w:type="dxa"/>
            <w:noWrap w:val="0"/>
            <w:vAlign w:val="center"/>
          </w:tcPr>
          <w:p w14:paraId="6CFB3C0C">
            <w:pPr>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b w:val="0"/>
                <w:bCs w:val="0"/>
                <w:color w:val="000000" w:themeColor="text1"/>
                <w:szCs w:val="21"/>
                <w14:textFill>
                  <w14:solidFill>
                    <w14:schemeClr w14:val="tx1"/>
                  </w14:solidFill>
                </w14:textFill>
              </w:rPr>
              <w:t>组员</w:t>
            </w:r>
          </w:p>
        </w:tc>
        <w:tc>
          <w:tcPr>
            <w:tcW w:w="1395" w:type="dxa"/>
            <w:noWrap w:val="0"/>
            <w:vAlign w:val="center"/>
          </w:tcPr>
          <w:p w14:paraId="09560EBD">
            <w:pPr>
              <w:autoSpaceDE w:val="0"/>
              <w:autoSpaceDN w:val="0"/>
              <w:adjustRightInd w:val="0"/>
              <w:jc w:val="center"/>
              <w:rPr>
                <w:rFonts w:hint="default" w:ascii="宋体" w:hAnsi="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w:t>
            </w:r>
          </w:p>
        </w:tc>
        <w:tc>
          <w:tcPr>
            <w:tcW w:w="1620" w:type="dxa"/>
            <w:noWrap w:val="0"/>
            <w:vAlign w:val="center"/>
          </w:tcPr>
          <w:p w14:paraId="076EA2AD">
            <w:pPr>
              <w:autoSpaceDE w:val="0"/>
              <w:autoSpaceDN w:val="0"/>
              <w:adjustRightInd w:val="0"/>
              <w:jc w:val="center"/>
              <w:rPr>
                <w:rFonts w:hint="eastAsia" w:cs="宋体"/>
                <w:b w:val="0"/>
                <w:bCs w:val="0"/>
                <w:color w:val="000000" w:themeColor="text1"/>
                <w:szCs w:val="21"/>
                <w:lang w:val="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15288242090</w:t>
            </w:r>
          </w:p>
        </w:tc>
        <w:tc>
          <w:tcPr>
            <w:tcW w:w="1700" w:type="dxa"/>
            <w:noWrap w:val="0"/>
            <w:vAlign w:val="center"/>
          </w:tcPr>
          <w:p w14:paraId="3FCB01F4">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171A82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05EA3319">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3EFDBDB1">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cs="宋体"/>
                <w:b w:val="0"/>
                <w:bCs w:val="0"/>
                <w:color w:val="000000" w:themeColor="text1"/>
                <w:sz w:val="21"/>
                <w:szCs w:val="21"/>
                <w:lang w:eastAsia="zh-CN"/>
                <w14:textFill>
                  <w14:solidFill>
                    <w14:schemeClr w14:val="tx1"/>
                  </w14:solidFill>
                </w14:textFill>
              </w:rPr>
              <w:t>李学仁</w:t>
            </w:r>
          </w:p>
        </w:tc>
        <w:tc>
          <w:tcPr>
            <w:tcW w:w="1530" w:type="dxa"/>
            <w:noWrap w:val="0"/>
            <w:vAlign w:val="center"/>
          </w:tcPr>
          <w:p w14:paraId="53F10C61">
            <w:pPr>
              <w:jc w:val="center"/>
              <w:rPr>
                <w:rFonts w:hint="eastAsia" w:ascii="宋体" w:hAnsi="宋体" w:eastAsia="宋体" w:cs="宋体"/>
                <w:b w:val="0"/>
                <w:bCs w:val="0"/>
                <w:color w:val="000000" w:themeColor="text1"/>
                <w:sz w:val="21"/>
                <w:szCs w:val="21"/>
                <w:lang w:val="zh-CN"/>
                <w14:textFill>
                  <w14:solidFill>
                    <w14:schemeClr w14:val="tx1"/>
                  </w14:solidFill>
                </w14:textFill>
              </w:rPr>
            </w:pPr>
            <w:r>
              <w:rPr>
                <w:rFonts w:hint="eastAsia"/>
                <w:b w:val="0"/>
                <w:bCs w:val="0"/>
                <w:color w:val="000000" w:themeColor="text1"/>
                <w:szCs w:val="21"/>
                <w14:textFill>
                  <w14:solidFill>
                    <w14:schemeClr w14:val="tx1"/>
                  </w14:solidFill>
                </w14:textFill>
              </w:rPr>
              <w:t>组员</w:t>
            </w:r>
          </w:p>
        </w:tc>
        <w:tc>
          <w:tcPr>
            <w:tcW w:w="1395" w:type="dxa"/>
            <w:noWrap w:val="0"/>
            <w:vAlign w:val="center"/>
          </w:tcPr>
          <w:p w14:paraId="0AFD153F">
            <w:pPr>
              <w:autoSpaceDE w:val="0"/>
              <w:autoSpaceDN w:val="0"/>
              <w:adjustRightInd w:val="0"/>
              <w:ind w:firstLine="140" w:firstLineChars="0"/>
              <w:jc w:val="center"/>
              <w:rPr>
                <w:rFonts w:hint="default" w:ascii="宋体" w:hAnsi="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w:t>
            </w:r>
          </w:p>
        </w:tc>
        <w:tc>
          <w:tcPr>
            <w:tcW w:w="1620" w:type="dxa"/>
            <w:noWrap w:val="0"/>
            <w:vAlign w:val="center"/>
          </w:tcPr>
          <w:p w14:paraId="22C5DAAB">
            <w:pPr>
              <w:autoSpaceDE w:val="0"/>
              <w:autoSpaceDN w:val="0"/>
              <w:adjustRightInd w:val="0"/>
              <w:jc w:val="center"/>
              <w:rPr>
                <w:rFonts w:hint="eastAsia" w:cs="宋体"/>
                <w:b w:val="0"/>
                <w:bCs w:val="0"/>
                <w:color w:val="000000" w:themeColor="text1"/>
                <w:szCs w:val="21"/>
                <w:lang w:val="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15825126938</w:t>
            </w:r>
          </w:p>
        </w:tc>
        <w:tc>
          <w:tcPr>
            <w:tcW w:w="1700" w:type="dxa"/>
            <w:noWrap w:val="0"/>
            <w:vAlign w:val="center"/>
          </w:tcPr>
          <w:p w14:paraId="3D0C8D5C">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3D67C84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122C7F9C">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473D8F29">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张艳萍</w:t>
            </w:r>
          </w:p>
        </w:tc>
        <w:tc>
          <w:tcPr>
            <w:tcW w:w="1530" w:type="dxa"/>
            <w:noWrap w:val="0"/>
            <w:vAlign w:val="center"/>
          </w:tcPr>
          <w:p w14:paraId="3401DD0D">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警戒通信组组长</w:t>
            </w:r>
          </w:p>
        </w:tc>
        <w:tc>
          <w:tcPr>
            <w:tcW w:w="1395" w:type="dxa"/>
            <w:noWrap w:val="0"/>
            <w:vAlign w:val="center"/>
          </w:tcPr>
          <w:p w14:paraId="0BD21109">
            <w:pPr>
              <w:autoSpaceDE w:val="0"/>
              <w:autoSpaceDN w:val="0"/>
              <w:adjustRightInd w:val="0"/>
              <w:spacing w:line="360" w:lineRule="auto"/>
              <w:jc w:val="center"/>
              <w:rPr>
                <w:rFonts w:hint="default" w:ascii="宋体" w:hAnsi="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办公室主任</w:t>
            </w:r>
          </w:p>
        </w:tc>
        <w:tc>
          <w:tcPr>
            <w:tcW w:w="1620" w:type="dxa"/>
            <w:noWrap w:val="0"/>
            <w:vAlign w:val="center"/>
          </w:tcPr>
          <w:p w14:paraId="3565AE03">
            <w:pPr>
              <w:autoSpaceDE w:val="0"/>
              <w:autoSpaceDN w:val="0"/>
              <w:adjustRightInd w:val="0"/>
              <w:jc w:val="center"/>
              <w:rPr>
                <w:rFonts w:hint="eastAsia"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13608492075</w:t>
            </w:r>
          </w:p>
        </w:tc>
        <w:tc>
          <w:tcPr>
            <w:tcW w:w="1700" w:type="dxa"/>
            <w:noWrap w:val="0"/>
            <w:vAlign w:val="center"/>
          </w:tcPr>
          <w:p w14:paraId="0A0D0D02">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7901843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4CDF4348">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41A77E80">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李明芬</w:t>
            </w:r>
          </w:p>
        </w:tc>
        <w:tc>
          <w:tcPr>
            <w:tcW w:w="1530" w:type="dxa"/>
            <w:noWrap w:val="0"/>
            <w:vAlign w:val="center"/>
          </w:tcPr>
          <w:p w14:paraId="0E083689">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组员</w:t>
            </w:r>
          </w:p>
        </w:tc>
        <w:tc>
          <w:tcPr>
            <w:tcW w:w="1395" w:type="dxa"/>
            <w:noWrap w:val="0"/>
            <w:vAlign w:val="center"/>
          </w:tcPr>
          <w:p w14:paraId="523A11B1">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w:t>
            </w:r>
          </w:p>
        </w:tc>
        <w:tc>
          <w:tcPr>
            <w:tcW w:w="1620" w:type="dxa"/>
            <w:noWrap w:val="0"/>
            <w:vAlign w:val="center"/>
          </w:tcPr>
          <w:p w14:paraId="2E04311A">
            <w:pPr>
              <w:autoSpaceDE w:val="0"/>
              <w:autoSpaceDN w:val="0"/>
              <w:adjustRightInd w:val="0"/>
              <w:jc w:val="center"/>
              <w:rPr>
                <w:rFonts w:hint="eastAsia"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13678772917</w:t>
            </w:r>
          </w:p>
        </w:tc>
        <w:tc>
          <w:tcPr>
            <w:tcW w:w="1700" w:type="dxa"/>
            <w:noWrap w:val="0"/>
            <w:vAlign w:val="center"/>
          </w:tcPr>
          <w:p w14:paraId="3EC52D0D">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0F8A1C0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529501E6">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64281208">
            <w:pPr>
              <w:jc w:val="center"/>
              <w:rPr>
                <w:rFonts w:hint="eastAsia" w:ascii="宋体" w:hAnsi="宋体"/>
                <w:b w:val="0"/>
                <w:bCs w:val="0"/>
                <w:color w:val="000000" w:themeColor="text1"/>
                <w:sz w:val="21"/>
                <w:szCs w:val="21"/>
                <w:lang w:eastAsia="zh-CN"/>
                <w14:textFill>
                  <w14:solidFill>
                    <w14:schemeClr w14:val="tx1"/>
                  </w14:solidFill>
                </w14:textFill>
              </w:rPr>
            </w:pPr>
            <w:r>
              <w:rPr>
                <w:b w:val="0"/>
                <w:bCs w:val="0"/>
                <w:color w:val="000000" w:themeColor="text1"/>
                <w:szCs w:val="21"/>
                <w14:textFill>
                  <w14:solidFill>
                    <w14:schemeClr w14:val="tx1"/>
                  </w14:solidFill>
                </w14:textFill>
              </w:rPr>
              <w:t>刘彩秀</w:t>
            </w:r>
          </w:p>
        </w:tc>
        <w:tc>
          <w:tcPr>
            <w:tcW w:w="1530" w:type="dxa"/>
            <w:noWrap w:val="0"/>
            <w:vAlign w:val="center"/>
          </w:tcPr>
          <w:p w14:paraId="5E5D6E3D">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组员</w:t>
            </w:r>
          </w:p>
        </w:tc>
        <w:tc>
          <w:tcPr>
            <w:tcW w:w="1395" w:type="dxa"/>
            <w:noWrap w:val="0"/>
            <w:vAlign w:val="center"/>
          </w:tcPr>
          <w:p w14:paraId="25CF3CA0">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w:t>
            </w:r>
          </w:p>
        </w:tc>
        <w:tc>
          <w:tcPr>
            <w:tcW w:w="1620" w:type="dxa"/>
            <w:noWrap w:val="0"/>
            <w:vAlign w:val="center"/>
          </w:tcPr>
          <w:p w14:paraId="5EA62C3B">
            <w:pPr>
              <w:autoSpaceDE w:val="0"/>
              <w:autoSpaceDN w:val="0"/>
              <w:adjustRightInd w:val="0"/>
              <w:jc w:val="center"/>
              <w:rPr>
                <w:rFonts w:hint="default"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13108716592</w:t>
            </w:r>
          </w:p>
        </w:tc>
        <w:tc>
          <w:tcPr>
            <w:tcW w:w="1700" w:type="dxa"/>
            <w:noWrap w:val="0"/>
            <w:vAlign w:val="center"/>
          </w:tcPr>
          <w:p w14:paraId="5AF66687">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349FFFC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498DE719">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2BED3A19">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杨启良</w:t>
            </w:r>
          </w:p>
        </w:tc>
        <w:tc>
          <w:tcPr>
            <w:tcW w:w="1530" w:type="dxa"/>
            <w:noWrap w:val="0"/>
            <w:vAlign w:val="center"/>
          </w:tcPr>
          <w:p w14:paraId="4AD3D6B7">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后勤保障组组长</w:t>
            </w:r>
          </w:p>
        </w:tc>
        <w:tc>
          <w:tcPr>
            <w:tcW w:w="1395" w:type="dxa"/>
            <w:noWrap w:val="0"/>
            <w:vAlign w:val="center"/>
          </w:tcPr>
          <w:p w14:paraId="0E75212C">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cs="宋体"/>
                <w:b w:val="0"/>
                <w:bCs w:val="0"/>
                <w:color w:val="000000" w:themeColor="text1"/>
                <w:sz w:val="21"/>
                <w:szCs w:val="21"/>
                <w:highlight w:val="none"/>
                <w:lang w:val="en-US" w:eastAsia="zh-CN"/>
                <w14:textFill>
                  <w14:solidFill>
                    <w14:schemeClr w14:val="tx1"/>
                  </w14:solidFill>
                </w14:textFill>
              </w:rPr>
              <w:t>后勤管理</w:t>
            </w:r>
          </w:p>
        </w:tc>
        <w:tc>
          <w:tcPr>
            <w:tcW w:w="1620" w:type="dxa"/>
            <w:noWrap w:val="0"/>
            <w:vAlign w:val="center"/>
          </w:tcPr>
          <w:p w14:paraId="45B004E2">
            <w:pPr>
              <w:autoSpaceDE w:val="0"/>
              <w:autoSpaceDN w:val="0"/>
              <w:adjustRightInd w:val="0"/>
              <w:jc w:val="center"/>
              <w:rPr>
                <w:rFonts w:hint="eastAsia"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13629473477</w:t>
            </w:r>
          </w:p>
        </w:tc>
        <w:tc>
          <w:tcPr>
            <w:tcW w:w="1700" w:type="dxa"/>
            <w:noWrap w:val="0"/>
            <w:vAlign w:val="center"/>
          </w:tcPr>
          <w:p w14:paraId="4BBF900E">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6012DF7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22CF9376">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3CE18E73">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何泽明</w:t>
            </w:r>
          </w:p>
        </w:tc>
        <w:tc>
          <w:tcPr>
            <w:tcW w:w="1530" w:type="dxa"/>
            <w:noWrap w:val="0"/>
            <w:vAlign w:val="center"/>
          </w:tcPr>
          <w:p w14:paraId="5C64D746">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组员</w:t>
            </w:r>
          </w:p>
        </w:tc>
        <w:tc>
          <w:tcPr>
            <w:tcW w:w="1395" w:type="dxa"/>
            <w:noWrap w:val="0"/>
            <w:vAlign w:val="center"/>
          </w:tcPr>
          <w:p w14:paraId="199A4694">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cs="宋体"/>
                <w:b w:val="0"/>
                <w:bCs w:val="0"/>
                <w:color w:val="000000" w:themeColor="text1"/>
                <w:sz w:val="21"/>
                <w:szCs w:val="21"/>
                <w:highlight w:val="none"/>
                <w:lang w:val="en-US" w:eastAsia="zh-CN"/>
                <w14:textFill>
                  <w14:solidFill>
                    <w14:schemeClr w14:val="tx1"/>
                  </w14:solidFill>
                </w14:textFill>
              </w:rPr>
              <w:t>员工</w:t>
            </w:r>
          </w:p>
        </w:tc>
        <w:tc>
          <w:tcPr>
            <w:tcW w:w="1620" w:type="dxa"/>
            <w:noWrap w:val="0"/>
            <w:vAlign w:val="center"/>
          </w:tcPr>
          <w:p w14:paraId="6FDCD681">
            <w:pPr>
              <w:autoSpaceDE w:val="0"/>
              <w:autoSpaceDN w:val="0"/>
              <w:adjustRightInd w:val="0"/>
              <w:jc w:val="center"/>
              <w:rPr>
                <w:rFonts w:hint="eastAsia"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15911761298</w:t>
            </w:r>
          </w:p>
        </w:tc>
        <w:tc>
          <w:tcPr>
            <w:tcW w:w="1700" w:type="dxa"/>
            <w:noWrap w:val="0"/>
            <w:vAlign w:val="center"/>
          </w:tcPr>
          <w:p w14:paraId="4D8622CE">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34CD33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59347917">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6DC616E1">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徐国安</w:t>
            </w:r>
          </w:p>
        </w:tc>
        <w:tc>
          <w:tcPr>
            <w:tcW w:w="1530" w:type="dxa"/>
            <w:noWrap w:val="0"/>
            <w:vAlign w:val="center"/>
          </w:tcPr>
          <w:p w14:paraId="3DE657E8">
            <w:pPr>
              <w:jc w:val="center"/>
              <w:rPr>
                <w:rFonts w:hint="eastAsia" w:ascii="宋体" w:hAnsi="宋体"/>
                <w:b w:val="0"/>
                <w:bCs w:val="0"/>
                <w:color w:val="000000" w:themeColor="text1"/>
                <w:sz w:val="21"/>
                <w:szCs w:val="21"/>
                <w14:textFill>
                  <w14:solidFill>
                    <w14:schemeClr w14:val="tx1"/>
                  </w14:solidFill>
                </w14:textFill>
              </w:rPr>
            </w:pPr>
            <w:r>
              <w:rPr>
                <w:rFonts w:hint="eastAsia" w:ascii="宋体" w:hAnsi="宋体"/>
                <w:b w:val="0"/>
                <w:bCs w:val="0"/>
                <w:color w:val="000000" w:themeColor="text1"/>
                <w:sz w:val="21"/>
                <w:szCs w:val="21"/>
                <w14:textFill>
                  <w14:solidFill>
                    <w14:schemeClr w14:val="tx1"/>
                  </w14:solidFill>
                </w14:textFill>
              </w:rPr>
              <w:t>组员</w:t>
            </w:r>
          </w:p>
        </w:tc>
        <w:tc>
          <w:tcPr>
            <w:tcW w:w="1395" w:type="dxa"/>
            <w:noWrap w:val="0"/>
            <w:vAlign w:val="center"/>
          </w:tcPr>
          <w:p w14:paraId="6D59CA13">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cs="宋体"/>
                <w:b w:val="0"/>
                <w:bCs w:val="0"/>
                <w:color w:val="000000" w:themeColor="text1"/>
                <w:sz w:val="21"/>
                <w:szCs w:val="21"/>
                <w:highlight w:val="none"/>
                <w:lang w:val="en-US" w:eastAsia="zh-CN"/>
                <w14:textFill>
                  <w14:solidFill>
                    <w14:schemeClr w14:val="tx1"/>
                  </w14:solidFill>
                </w14:textFill>
              </w:rPr>
              <w:t>--</w:t>
            </w:r>
          </w:p>
        </w:tc>
        <w:tc>
          <w:tcPr>
            <w:tcW w:w="1620" w:type="dxa"/>
            <w:noWrap w:val="0"/>
            <w:vAlign w:val="center"/>
          </w:tcPr>
          <w:p w14:paraId="75F380CA">
            <w:pPr>
              <w:autoSpaceDE w:val="0"/>
              <w:autoSpaceDN w:val="0"/>
              <w:adjustRightInd w:val="0"/>
              <w:jc w:val="center"/>
              <w:rPr>
                <w:rFonts w:hint="default"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15287194331</w:t>
            </w:r>
          </w:p>
        </w:tc>
        <w:tc>
          <w:tcPr>
            <w:tcW w:w="1700" w:type="dxa"/>
            <w:noWrap w:val="0"/>
            <w:vAlign w:val="center"/>
          </w:tcPr>
          <w:p w14:paraId="5F164DF6">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00A8F4C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58191DA2">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25B02D5A">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李国荣</w:t>
            </w:r>
          </w:p>
        </w:tc>
        <w:tc>
          <w:tcPr>
            <w:tcW w:w="1530" w:type="dxa"/>
            <w:noWrap w:val="0"/>
            <w:vAlign w:val="center"/>
          </w:tcPr>
          <w:p w14:paraId="4D73971F">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技术组组长</w:t>
            </w:r>
          </w:p>
        </w:tc>
        <w:tc>
          <w:tcPr>
            <w:tcW w:w="1395" w:type="dxa"/>
            <w:noWrap w:val="0"/>
            <w:vAlign w:val="center"/>
          </w:tcPr>
          <w:p w14:paraId="03BB8432">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cs="宋体"/>
                <w:b w:val="0"/>
                <w:bCs w:val="0"/>
                <w:color w:val="000000" w:themeColor="text1"/>
                <w:sz w:val="21"/>
                <w:szCs w:val="21"/>
                <w:highlight w:val="none"/>
                <w:lang w:val="en-US" w:eastAsia="zh-CN"/>
                <w14:textFill>
                  <w14:solidFill>
                    <w14:schemeClr w14:val="tx1"/>
                  </w14:solidFill>
                </w14:textFill>
              </w:rPr>
              <w:t>生产组长</w:t>
            </w:r>
          </w:p>
        </w:tc>
        <w:tc>
          <w:tcPr>
            <w:tcW w:w="1620" w:type="dxa"/>
            <w:noWrap w:val="0"/>
            <w:vAlign w:val="center"/>
          </w:tcPr>
          <w:p w14:paraId="34167EDE">
            <w:pPr>
              <w:autoSpaceDE w:val="0"/>
              <w:autoSpaceDN w:val="0"/>
              <w:adjustRightInd w:val="0"/>
              <w:jc w:val="center"/>
              <w:rPr>
                <w:rFonts w:hint="eastAsia"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13808798334</w:t>
            </w:r>
          </w:p>
        </w:tc>
        <w:tc>
          <w:tcPr>
            <w:tcW w:w="1700" w:type="dxa"/>
            <w:noWrap w:val="0"/>
            <w:vAlign w:val="center"/>
          </w:tcPr>
          <w:p w14:paraId="527B78E6">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3432EE40">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4558DA0F">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21181761">
            <w:pPr>
              <w:jc w:val="center"/>
              <w:rPr>
                <w:rFonts w:hint="eastAsia" w:ascii="宋体" w:hAnsi="宋体"/>
                <w:b w:val="0"/>
                <w:bCs w:val="0"/>
                <w:color w:val="000000" w:themeColor="text1"/>
                <w:sz w:val="21"/>
                <w:szCs w:val="21"/>
                <w:lang w:eastAsia="zh-CN"/>
                <w14:textFill>
                  <w14:solidFill>
                    <w14:schemeClr w14:val="tx1"/>
                  </w14:solidFill>
                </w14:textFill>
              </w:rPr>
            </w:pPr>
            <w:r>
              <w:rPr>
                <w:rFonts w:hint="eastAsia" w:ascii="宋体" w:hAnsi="宋体"/>
                <w:b w:val="0"/>
                <w:bCs w:val="0"/>
                <w:color w:val="000000" w:themeColor="text1"/>
                <w:sz w:val="21"/>
                <w:szCs w:val="21"/>
                <w:lang w:eastAsia="zh-CN"/>
                <w14:textFill>
                  <w14:solidFill>
                    <w14:schemeClr w14:val="tx1"/>
                  </w14:solidFill>
                </w14:textFill>
              </w:rPr>
              <w:t>何秉生</w:t>
            </w:r>
          </w:p>
        </w:tc>
        <w:tc>
          <w:tcPr>
            <w:tcW w:w="1530" w:type="dxa"/>
            <w:noWrap w:val="0"/>
            <w:vAlign w:val="center"/>
          </w:tcPr>
          <w:p w14:paraId="31D1A3CE">
            <w:pPr>
              <w:jc w:val="center"/>
              <w:rPr>
                <w:rFonts w:hint="eastAsia" w:ascii="宋体" w:hAnsi="宋体"/>
                <w:b w:val="0"/>
                <w:bCs w:val="0"/>
                <w:color w:val="000000" w:themeColor="text1"/>
                <w:sz w:val="21"/>
                <w:szCs w:val="21"/>
                <w14:textFill>
                  <w14:solidFill>
                    <w14:schemeClr w14:val="tx1"/>
                  </w14:solidFill>
                </w14:textFill>
              </w:rPr>
            </w:pPr>
            <w:r>
              <w:rPr>
                <w:rFonts w:hint="eastAsia"/>
                <w:b w:val="0"/>
                <w:bCs w:val="0"/>
                <w:color w:val="000000" w:themeColor="text1"/>
                <w:szCs w:val="21"/>
                <w14:textFill>
                  <w14:solidFill>
                    <w14:schemeClr w14:val="tx1"/>
                  </w14:solidFill>
                </w14:textFill>
              </w:rPr>
              <w:t>组员</w:t>
            </w:r>
          </w:p>
        </w:tc>
        <w:tc>
          <w:tcPr>
            <w:tcW w:w="1395" w:type="dxa"/>
            <w:noWrap w:val="0"/>
            <w:vAlign w:val="center"/>
          </w:tcPr>
          <w:p w14:paraId="23BCEF55">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cs="宋体"/>
                <w:b w:val="0"/>
                <w:bCs w:val="0"/>
                <w:color w:val="000000" w:themeColor="text1"/>
                <w:sz w:val="21"/>
                <w:szCs w:val="21"/>
                <w:highlight w:val="none"/>
                <w:lang w:val="en-US" w:eastAsia="zh-CN"/>
                <w14:textFill>
                  <w14:solidFill>
                    <w14:schemeClr w14:val="tx1"/>
                  </w14:solidFill>
                </w14:textFill>
              </w:rPr>
              <w:t>员工</w:t>
            </w:r>
          </w:p>
        </w:tc>
        <w:tc>
          <w:tcPr>
            <w:tcW w:w="1620" w:type="dxa"/>
            <w:noWrap w:val="0"/>
            <w:vAlign w:val="center"/>
          </w:tcPr>
          <w:p w14:paraId="729E4338">
            <w:pPr>
              <w:autoSpaceDE w:val="0"/>
              <w:autoSpaceDN w:val="0"/>
              <w:adjustRightInd w:val="0"/>
              <w:jc w:val="center"/>
              <w:rPr>
                <w:rFonts w:hint="eastAsia"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en-US" w:eastAsia="zh-CN"/>
                <w14:textFill>
                  <w14:solidFill>
                    <w14:schemeClr w14:val="tx1"/>
                  </w14:solidFill>
                </w14:textFill>
              </w:rPr>
              <w:t>15188157456</w:t>
            </w:r>
          </w:p>
        </w:tc>
        <w:tc>
          <w:tcPr>
            <w:tcW w:w="1700" w:type="dxa"/>
            <w:noWrap w:val="0"/>
            <w:vAlign w:val="center"/>
          </w:tcPr>
          <w:p w14:paraId="6A72756C">
            <w:pPr>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w:t>
            </w:r>
          </w:p>
        </w:tc>
      </w:tr>
      <w:tr w14:paraId="31649B3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vMerge w:val="continue"/>
            <w:noWrap w:val="0"/>
            <w:vAlign w:val="center"/>
          </w:tcPr>
          <w:p w14:paraId="4C8703D6">
            <w:pPr>
              <w:autoSpaceDE w:val="0"/>
              <w:autoSpaceDN w:val="0"/>
              <w:adjustRightInd w:val="0"/>
              <w:jc w:val="center"/>
              <w:rPr>
                <w:rFonts w:hint="eastAsia" w:ascii="宋体" w:hAnsi="宋体" w:eastAsia="宋体" w:cs="宋体"/>
                <w:b w:val="0"/>
                <w:bCs w:val="0"/>
                <w:color w:val="000000" w:themeColor="text1"/>
                <w:sz w:val="21"/>
                <w:szCs w:val="21"/>
                <w14:textFill>
                  <w14:solidFill>
                    <w14:schemeClr w14:val="tx1"/>
                  </w14:solidFill>
                </w14:textFill>
              </w:rPr>
            </w:pPr>
          </w:p>
        </w:tc>
        <w:tc>
          <w:tcPr>
            <w:tcW w:w="868" w:type="dxa"/>
            <w:noWrap w:val="0"/>
            <w:vAlign w:val="center"/>
          </w:tcPr>
          <w:p w14:paraId="0ACC71A2">
            <w:pPr>
              <w:jc w:val="center"/>
              <w:rPr>
                <w:b w:val="0"/>
                <w:bCs w:val="0"/>
                <w:color w:val="000000" w:themeColor="text1"/>
                <w:szCs w:val="21"/>
                <w14:textFill>
                  <w14:solidFill>
                    <w14:schemeClr w14:val="tx1"/>
                  </w14:solidFill>
                </w14:textFill>
              </w:rPr>
            </w:pPr>
            <w:r>
              <w:rPr>
                <w:b w:val="0"/>
                <w:bCs w:val="0"/>
                <w:color w:val="000000" w:themeColor="text1"/>
                <w:szCs w:val="21"/>
                <w14:textFill>
                  <w14:solidFill>
                    <w14:schemeClr w14:val="tx1"/>
                  </w14:solidFill>
                </w14:textFill>
              </w:rPr>
              <w:t>李兴良</w:t>
            </w:r>
          </w:p>
        </w:tc>
        <w:tc>
          <w:tcPr>
            <w:tcW w:w="1530" w:type="dxa"/>
            <w:noWrap w:val="0"/>
            <w:vAlign w:val="center"/>
          </w:tcPr>
          <w:p w14:paraId="0D69A6EB">
            <w:pPr>
              <w:jc w:val="center"/>
              <w:rPr>
                <w:rFonts w:hint="eastAsia"/>
                <w:b w:val="0"/>
                <w:bCs w:val="0"/>
                <w:color w:val="000000" w:themeColor="text1"/>
                <w:szCs w:val="21"/>
                <w14:textFill>
                  <w14:solidFill>
                    <w14:schemeClr w14:val="tx1"/>
                  </w14:solidFill>
                </w14:textFill>
              </w:rPr>
            </w:pPr>
            <w:r>
              <w:rPr>
                <w:rFonts w:hint="eastAsia" w:ascii="宋体" w:hAnsi="宋体" w:cs="宋体"/>
                <w:b w:val="0"/>
                <w:bCs w:val="0"/>
                <w:color w:val="000000" w:themeColor="text1"/>
                <w:szCs w:val="21"/>
                <w14:textFill>
                  <w14:solidFill>
                    <w14:schemeClr w14:val="tx1"/>
                  </w14:solidFill>
                </w14:textFill>
              </w:rPr>
              <w:t>组员</w:t>
            </w:r>
          </w:p>
        </w:tc>
        <w:tc>
          <w:tcPr>
            <w:tcW w:w="1395" w:type="dxa"/>
            <w:noWrap w:val="0"/>
            <w:vAlign w:val="center"/>
          </w:tcPr>
          <w:p w14:paraId="79B99021">
            <w:pPr>
              <w:autoSpaceDE w:val="0"/>
              <w:autoSpaceDN w:val="0"/>
              <w:adjustRightInd w:val="0"/>
              <w:spacing w:line="360" w:lineRule="auto"/>
              <w:ind w:firstLine="140" w:firstLineChars="0"/>
              <w:jc w:val="center"/>
              <w:rPr>
                <w:rFonts w:hint="default" w:ascii="宋体" w:hAnsi="宋体" w:cs="宋体"/>
                <w:b w:val="0"/>
                <w:bCs w:val="0"/>
                <w:color w:val="000000" w:themeColor="text1"/>
                <w:sz w:val="21"/>
                <w:szCs w:val="21"/>
                <w:highlight w:val="none"/>
                <w:lang w:val="en-US" w:eastAsia="zh-CN"/>
                <w14:textFill>
                  <w14:solidFill>
                    <w14:schemeClr w14:val="tx1"/>
                  </w14:solidFill>
                </w14:textFill>
              </w:rPr>
            </w:pPr>
            <w:r>
              <w:rPr>
                <w:rFonts w:hint="eastAsia" w:ascii="宋体" w:hAnsi="宋体" w:cs="宋体"/>
                <w:b w:val="0"/>
                <w:bCs w:val="0"/>
                <w:color w:val="000000" w:themeColor="text1"/>
                <w:sz w:val="21"/>
                <w:szCs w:val="21"/>
                <w:highlight w:val="none"/>
                <w:lang w:val="en-US" w:eastAsia="zh-CN"/>
                <w14:textFill>
                  <w14:solidFill>
                    <w14:schemeClr w14:val="tx1"/>
                  </w14:solidFill>
                </w14:textFill>
              </w:rPr>
              <w:t>--</w:t>
            </w:r>
          </w:p>
        </w:tc>
        <w:tc>
          <w:tcPr>
            <w:tcW w:w="1620" w:type="dxa"/>
            <w:noWrap w:val="0"/>
            <w:vAlign w:val="center"/>
          </w:tcPr>
          <w:p w14:paraId="183277B5">
            <w:pPr>
              <w:autoSpaceDE w:val="0"/>
              <w:autoSpaceDN w:val="0"/>
              <w:adjustRightInd w:val="0"/>
              <w:jc w:val="center"/>
              <w:rPr>
                <w:rFonts w:hint="eastAsia" w:eastAsia="宋体" w:cs="宋体"/>
                <w:b w:val="0"/>
                <w:bCs w:val="0"/>
                <w:color w:val="000000" w:themeColor="text1"/>
                <w:szCs w:val="21"/>
                <w:lang w:val="en-US" w:eastAsia="zh-CN"/>
                <w14:textFill>
                  <w14:solidFill>
                    <w14:schemeClr w14:val="tx1"/>
                  </w14:solidFill>
                </w14:textFill>
              </w:rPr>
            </w:pPr>
            <w:r>
              <w:rPr>
                <w:rFonts w:hint="eastAsia" w:cs="宋体"/>
                <w:b w:val="0"/>
                <w:bCs w:val="0"/>
                <w:color w:val="000000" w:themeColor="text1"/>
                <w:szCs w:val="21"/>
                <w:lang w:val="zh-CN"/>
                <w14:textFill>
                  <w14:solidFill>
                    <w14:schemeClr w14:val="tx1"/>
                  </w14:solidFill>
                </w14:textFill>
              </w:rPr>
              <w:t>1352934406</w:t>
            </w:r>
            <w:r>
              <w:rPr>
                <w:rFonts w:hint="eastAsia" w:cs="宋体"/>
                <w:b w:val="0"/>
                <w:bCs w:val="0"/>
                <w:color w:val="000000" w:themeColor="text1"/>
                <w:szCs w:val="21"/>
                <w:lang w:val="en-US" w:eastAsia="zh-CN"/>
                <w14:textFill>
                  <w14:solidFill>
                    <w14:schemeClr w14:val="tx1"/>
                  </w14:solidFill>
                </w14:textFill>
              </w:rPr>
              <w:t>9</w:t>
            </w:r>
          </w:p>
        </w:tc>
        <w:tc>
          <w:tcPr>
            <w:tcW w:w="1700" w:type="dxa"/>
            <w:noWrap w:val="0"/>
            <w:vAlign w:val="center"/>
          </w:tcPr>
          <w:p w14:paraId="65A7C72F">
            <w:pPr>
              <w:jc w:val="center"/>
              <w:rPr>
                <w:rFonts w:hint="default"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cs="宋体"/>
                <w:b w:val="0"/>
                <w:bCs w:val="0"/>
                <w:color w:val="000000" w:themeColor="text1"/>
                <w:sz w:val="21"/>
                <w:szCs w:val="21"/>
                <w:lang w:val="en-US" w:eastAsia="zh-CN"/>
                <w14:textFill>
                  <w14:solidFill>
                    <w14:schemeClr w14:val="tx1"/>
                  </w14:solidFill>
                </w14:textFill>
              </w:rPr>
              <w:t>--</w:t>
            </w:r>
          </w:p>
        </w:tc>
      </w:tr>
      <w:tr w14:paraId="5B5B8C3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284F9CE1">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昆明市生态环境局</w:t>
            </w:r>
            <w:r>
              <w:rPr>
                <w:rFonts w:hint="eastAsia"/>
                <w:b w:val="0"/>
                <w:bCs w:val="0"/>
                <w:color w:val="000000" w:themeColor="text1"/>
                <w:szCs w:val="21"/>
                <w:lang w:eastAsia="zh-CN"/>
                <w14:textFill>
                  <w14:solidFill>
                    <w14:schemeClr w14:val="tx1"/>
                  </w14:solidFill>
                </w14:textFill>
              </w:rPr>
              <w:t>安宁</w:t>
            </w:r>
            <w:r>
              <w:rPr>
                <w:rFonts w:hint="eastAsia"/>
                <w:b w:val="0"/>
                <w:bCs w:val="0"/>
                <w:color w:val="000000" w:themeColor="text1"/>
                <w:szCs w:val="21"/>
                <w:lang w:val="en-US" w:eastAsia="zh-CN"/>
                <w14:textFill>
                  <w14:solidFill>
                    <w14:schemeClr w14:val="tx1"/>
                  </w14:solidFill>
                </w14:textFill>
              </w:rPr>
              <w:t>分局</w:t>
            </w:r>
            <w:r>
              <w:rPr>
                <w:rFonts w:hint="eastAsia"/>
                <w:b w:val="0"/>
                <w:bCs w:val="0"/>
                <w:color w:val="000000" w:themeColor="text1"/>
                <w:szCs w:val="21"/>
                <w:lang w:eastAsia="zh-CN"/>
                <w14:textFill>
                  <w14:solidFill>
                    <w14:schemeClr w14:val="tx1"/>
                  </w14:solidFill>
                </w14:textFill>
              </w:rPr>
              <w:t>禄脿环保所</w:t>
            </w:r>
          </w:p>
        </w:tc>
        <w:tc>
          <w:tcPr>
            <w:tcW w:w="868" w:type="dxa"/>
            <w:noWrap w:val="0"/>
            <w:vAlign w:val="center"/>
          </w:tcPr>
          <w:p w14:paraId="4E0C55D7">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69E0BB47">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104CA235">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2CFFC71F">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c>
          <w:tcPr>
            <w:tcW w:w="1700" w:type="dxa"/>
            <w:noWrap w:val="0"/>
            <w:vAlign w:val="center"/>
          </w:tcPr>
          <w:p w14:paraId="6BB7D120">
            <w:pPr>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0871-8612369</w:t>
            </w:r>
          </w:p>
          <w:p w14:paraId="377C2400">
            <w:pPr>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0871-8722028</w:t>
            </w:r>
          </w:p>
        </w:tc>
      </w:tr>
      <w:tr w14:paraId="6CD03A6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02B80EA1">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安宁市</w:t>
            </w:r>
            <w:r>
              <w:rPr>
                <w:rFonts w:hint="eastAsia"/>
                <w:b w:val="0"/>
                <w:bCs w:val="0"/>
                <w:color w:val="000000" w:themeColor="text1"/>
                <w:szCs w:val="21"/>
                <w:lang w:val="en-US" w:eastAsia="zh-CN"/>
                <w14:textFill>
                  <w14:solidFill>
                    <w14:schemeClr w14:val="tx1"/>
                  </w14:solidFill>
                </w14:textFill>
              </w:rPr>
              <w:t>应急管理局</w:t>
            </w:r>
          </w:p>
        </w:tc>
        <w:tc>
          <w:tcPr>
            <w:tcW w:w="868" w:type="dxa"/>
            <w:noWrap w:val="0"/>
            <w:vAlign w:val="center"/>
          </w:tcPr>
          <w:p w14:paraId="590CB264">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3B4468AB">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2FA6863D">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4AED46C8">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2C105195">
            <w:pPr>
              <w:jc w:val="center"/>
              <w:rPr>
                <w:rFonts w:hint="eastAsia" w:ascii="宋体" w:hAnsi="宋体" w:cs="宋体"/>
                <w:b w:val="0"/>
                <w:bCs w:val="0"/>
                <w:color w:val="000000" w:themeColor="text1"/>
                <w:szCs w:val="21"/>
                <w:lang w:val="zh-CN"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0871- 8688582     0871- 8688580</w:t>
            </w:r>
          </w:p>
        </w:tc>
      </w:tr>
      <w:tr w14:paraId="350DAB4B">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530FF9EE">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安宁市</w:t>
            </w:r>
            <w:r>
              <w:rPr>
                <w:rFonts w:hint="eastAsia"/>
                <w:b w:val="0"/>
                <w:bCs w:val="0"/>
                <w:color w:val="000000" w:themeColor="text1"/>
                <w:szCs w:val="21"/>
                <w14:textFill>
                  <w14:solidFill>
                    <w14:schemeClr w14:val="tx1"/>
                  </w14:solidFill>
                </w14:textFill>
              </w:rPr>
              <w:t>公安局</w:t>
            </w:r>
          </w:p>
        </w:tc>
        <w:tc>
          <w:tcPr>
            <w:tcW w:w="868" w:type="dxa"/>
            <w:noWrap w:val="0"/>
            <w:vAlign w:val="center"/>
          </w:tcPr>
          <w:p w14:paraId="1256A8B9">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468FD75F">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7D5004EC">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553018B4">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7FA44DF6">
            <w:pPr>
              <w:jc w:val="center"/>
              <w:rPr>
                <w:rFonts w:hint="eastAsia" w:ascii="宋体" w:hAnsi="宋体" w:cs="宋体"/>
                <w:b w:val="0"/>
                <w:bCs w:val="0"/>
                <w:color w:val="000000" w:themeColor="text1"/>
                <w:szCs w:val="21"/>
                <w:lang w:val="zh-CN"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110</w:t>
            </w:r>
          </w:p>
        </w:tc>
      </w:tr>
      <w:tr w14:paraId="71466D0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798CF060">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安宁市</w:t>
            </w:r>
            <w:r>
              <w:rPr>
                <w:rFonts w:hint="eastAsia"/>
                <w:b w:val="0"/>
                <w:bCs w:val="0"/>
                <w:color w:val="000000" w:themeColor="text1"/>
                <w:szCs w:val="21"/>
                <w14:textFill>
                  <w14:solidFill>
                    <w14:schemeClr w14:val="tx1"/>
                  </w14:solidFill>
                </w14:textFill>
              </w:rPr>
              <w:t>人民政府办公室</w:t>
            </w:r>
          </w:p>
        </w:tc>
        <w:tc>
          <w:tcPr>
            <w:tcW w:w="868" w:type="dxa"/>
            <w:noWrap w:val="0"/>
            <w:vAlign w:val="center"/>
          </w:tcPr>
          <w:p w14:paraId="183A267F">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3BEC91C4">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77441A05">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38EDB0DF">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78908D5A">
            <w:pPr>
              <w:jc w:val="center"/>
              <w:rPr>
                <w:rFonts w:hint="eastAsia" w:ascii="宋体" w:hAnsi="宋体" w:cs="宋体"/>
                <w:b w:val="0"/>
                <w:bCs w:val="0"/>
                <w:color w:val="000000" w:themeColor="text1"/>
                <w:szCs w:val="21"/>
                <w:lang w:val="zh-CN"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0871-8612345</w:t>
            </w:r>
          </w:p>
        </w:tc>
      </w:tr>
      <w:tr w14:paraId="22C9A7F3">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095AFABC">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国家化学事故应急咨询服务热线</w:t>
            </w:r>
          </w:p>
        </w:tc>
        <w:tc>
          <w:tcPr>
            <w:tcW w:w="868" w:type="dxa"/>
            <w:noWrap w:val="0"/>
            <w:vAlign w:val="center"/>
          </w:tcPr>
          <w:p w14:paraId="409F48C1">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4893B03D">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23A255AF">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6BDD35D1">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22ACB7F6">
            <w:pPr>
              <w:jc w:val="center"/>
              <w:rPr>
                <w:rFonts w:hint="eastAsia" w:ascii="宋体" w:hAnsi="宋体" w:cs="宋体"/>
                <w:b w:val="0"/>
                <w:bCs w:val="0"/>
                <w:color w:val="000000" w:themeColor="text1"/>
                <w:szCs w:val="21"/>
                <w:lang w:val="zh-CN"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0532 - 3889090</w:t>
            </w:r>
          </w:p>
        </w:tc>
      </w:tr>
      <w:tr w14:paraId="5D42021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top"/>
          </w:tcPr>
          <w:p w14:paraId="3DAFD2A3">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安宁市</w:t>
            </w:r>
            <w:r>
              <w:rPr>
                <w:rFonts w:hint="eastAsia"/>
                <w:b w:val="0"/>
                <w:bCs w:val="0"/>
                <w:color w:val="000000" w:themeColor="text1"/>
                <w:szCs w:val="21"/>
                <w:lang w:val="en-US" w:eastAsia="zh-CN"/>
                <w14:textFill>
                  <w14:solidFill>
                    <w14:schemeClr w14:val="tx1"/>
                  </w14:solidFill>
                </w14:textFill>
              </w:rPr>
              <w:t>市场监督管理局</w:t>
            </w:r>
          </w:p>
        </w:tc>
        <w:tc>
          <w:tcPr>
            <w:tcW w:w="868" w:type="dxa"/>
            <w:noWrap w:val="0"/>
            <w:vAlign w:val="center"/>
          </w:tcPr>
          <w:p w14:paraId="3BBF3B62">
            <w:pPr>
              <w:jc w:val="center"/>
              <w:rPr>
                <w:rFonts w:hint="default"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70312682">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0CC08D45">
            <w:pPr>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14B685C5">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79CA68E3">
            <w:pPr>
              <w:jc w:val="center"/>
              <w:rPr>
                <w:rFonts w:hint="default"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0871 - 8697402</w:t>
            </w:r>
          </w:p>
        </w:tc>
      </w:tr>
      <w:tr w14:paraId="2B6ABC76">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7913735E">
            <w:pPr>
              <w:keepNext w:val="0"/>
              <w:keepLines w:val="0"/>
              <w:suppressLineNumbers w:val="0"/>
              <w:spacing w:before="0" w:beforeAutospacing="0" w:after="0" w:afterAutospacing="0"/>
              <w:ind w:left="0" w:right="0" w:firstLine="117"/>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14:textFill>
                  <w14:solidFill>
                    <w14:schemeClr w14:val="tx1"/>
                  </w14:solidFill>
                </w14:textFill>
              </w:rPr>
              <w:t>昆钢医院</w:t>
            </w:r>
          </w:p>
          <w:p w14:paraId="40A3CEDA">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ascii="宋体" w:hAnsi="宋体" w:eastAsia="宋体" w:cs="宋体"/>
                <w:b w:val="0"/>
                <w:bCs w:val="0"/>
                <w:color w:val="000000" w:themeColor="text1"/>
                <w:kern w:val="0"/>
                <w:sz w:val="21"/>
                <w:szCs w:val="21"/>
                <w14:textFill>
                  <w14:solidFill>
                    <w14:schemeClr w14:val="tx1"/>
                  </w14:solidFill>
                </w14:textFill>
              </w:rPr>
              <w:t>（昆明市第四人民医院）</w:t>
            </w:r>
          </w:p>
        </w:tc>
        <w:tc>
          <w:tcPr>
            <w:tcW w:w="868" w:type="dxa"/>
            <w:noWrap w:val="0"/>
            <w:vAlign w:val="center"/>
          </w:tcPr>
          <w:p w14:paraId="5653815C">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2B39B444">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72B9B799">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0BE9B0D4">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0B557F6E">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lang w:val="zh-CN"/>
                <w14:textFill>
                  <w14:solidFill>
                    <w14:schemeClr w14:val="tx1"/>
                  </w14:solidFill>
                </w14:textFill>
              </w:rPr>
              <w:t>0871-</w:t>
            </w:r>
            <w:r>
              <w:rPr>
                <w:rFonts w:hint="eastAsia" w:ascii="宋体" w:hAnsi="宋体" w:eastAsia="宋体" w:cs="宋体"/>
                <w:b w:val="0"/>
                <w:bCs w:val="0"/>
                <w:color w:val="000000" w:themeColor="text1"/>
                <w:kern w:val="0"/>
                <w:sz w:val="21"/>
                <w:szCs w:val="21"/>
                <w14:textFill>
                  <w14:solidFill>
                    <w14:schemeClr w14:val="tx1"/>
                  </w14:solidFill>
                </w14:textFill>
              </w:rPr>
              <w:t xml:space="preserve"> 68639999</w:t>
            </w:r>
          </w:p>
        </w:tc>
      </w:tr>
      <w:tr w14:paraId="28A251A5">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2C5B530D">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安宁市</w:t>
            </w:r>
            <w:r>
              <w:rPr>
                <w:rFonts w:hint="eastAsia"/>
                <w:b w:val="0"/>
                <w:bCs w:val="0"/>
                <w:color w:val="000000" w:themeColor="text1"/>
                <w:szCs w:val="21"/>
                <w14:textFill>
                  <w14:solidFill>
                    <w14:schemeClr w14:val="tx1"/>
                  </w14:solidFill>
                </w14:textFill>
              </w:rPr>
              <w:t>人民医院</w:t>
            </w:r>
          </w:p>
        </w:tc>
        <w:tc>
          <w:tcPr>
            <w:tcW w:w="868" w:type="dxa"/>
            <w:noWrap w:val="0"/>
            <w:vAlign w:val="center"/>
          </w:tcPr>
          <w:p w14:paraId="1F37AF04">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65A05A37">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3D53F528">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43EA0096">
            <w:pPr>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57ABA24F">
            <w:pPr>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120</w:t>
            </w:r>
          </w:p>
        </w:tc>
      </w:tr>
      <w:tr w14:paraId="16C4FB0D">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6CA7A55F">
            <w:pPr>
              <w:keepNext w:val="0"/>
              <w:keepLines w:val="0"/>
              <w:suppressLineNumbers w:val="0"/>
              <w:spacing w:before="0" w:beforeAutospacing="0" w:after="0" w:afterAutospacing="0"/>
              <w:ind w:left="0" w:leftChars="0" w:right="0" w:rightChars="0" w:firstLine="117" w:firstLineChars="0"/>
              <w:jc w:val="center"/>
              <w:rPr>
                <w:rFonts w:hint="eastAsia" w:ascii="Times New Roman" w:hAnsi="Times New Roman"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禄脿卫生院</w:t>
            </w:r>
          </w:p>
        </w:tc>
        <w:tc>
          <w:tcPr>
            <w:tcW w:w="868" w:type="dxa"/>
            <w:noWrap w:val="0"/>
            <w:vAlign w:val="center"/>
          </w:tcPr>
          <w:p w14:paraId="3455112D">
            <w:pPr>
              <w:jc w:val="center"/>
              <w:rPr>
                <w:rFonts w:hint="default" w:ascii="宋体" w:hAnsi="宋体" w:eastAsia="宋体" w:cs="宋体"/>
                <w:color w:val="000000" w:themeColor="text1"/>
                <w:kern w:val="0"/>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5C398F96">
            <w:pPr>
              <w:jc w:val="center"/>
              <w:rPr>
                <w:rFonts w:hint="eastAsia" w:ascii="宋体" w:hAnsi="宋体" w:eastAsia="宋体" w:cs="宋体"/>
                <w:color w:val="000000" w:themeColor="text1"/>
                <w:kern w:val="0"/>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642E67B0">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738698D7">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1A081B75">
            <w:pPr>
              <w:jc w:val="center"/>
              <w:rPr>
                <w:rFonts w:hint="eastAsia"/>
                <w:b w:val="0"/>
                <w:bCs w:val="0"/>
                <w:color w:val="000000" w:themeColor="text1"/>
                <w:szCs w:val="21"/>
                <w14:textFill>
                  <w14:solidFill>
                    <w14:schemeClr w14:val="tx1"/>
                  </w14:solidFill>
                </w14:textFill>
              </w:rPr>
            </w:pPr>
            <w:r>
              <w:rPr>
                <w:rFonts w:hint="eastAsia" w:ascii="宋体" w:hAnsi="宋体" w:eastAsia="宋体" w:cs="宋体"/>
                <w:color w:val="000000" w:themeColor="text1"/>
                <w:kern w:val="0"/>
                <w:sz w:val="21"/>
                <w:szCs w:val="21"/>
                <w:lang w:val="en-US" w:eastAsia="zh-CN"/>
                <w14:textFill>
                  <w14:solidFill>
                    <w14:schemeClr w14:val="tx1"/>
                  </w14:solidFill>
                </w14:textFill>
              </w:rPr>
              <w:t>0871-68722477</w:t>
            </w:r>
          </w:p>
        </w:tc>
      </w:tr>
      <w:tr w14:paraId="31990159">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6A50212D">
            <w:pPr>
              <w:keepNext w:val="0"/>
              <w:keepLines w:val="0"/>
              <w:suppressLineNumbers w:val="0"/>
              <w:spacing w:before="0" w:beforeAutospacing="0" w:after="0" w:afterAutospacing="0"/>
              <w:ind w:left="0" w:leftChars="0" w:right="0" w:rightChars="0"/>
              <w:jc w:val="center"/>
              <w:rPr>
                <w:rFonts w:hint="eastAsia" w:ascii="宋体" w:hAnsi="宋体" w:eastAsia="宋体" w:cs="宋体"/>
                <w:b w:val="0"/>
                <w:bCs w:val="0"/>
                <w:color w:val="000000" w:themeColor="text1"/>
                <w:kern w:val="0"/>
                <w:sz w:val="21"/>
                <w:szCs w:val="21"/>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14:textFill>
                  <w14:solidFill>
                    <w14:schemeClr w14:val="tx1"/>
                  </w14:solidFill>
                </w14:textFill>
              </w:rPr>
              <w:t>安宁市应急救援大队</w:t>
            </w:r>
          </w:p>
        </w:tc>
        <w:tc>
          <w:tcPr>
            <w:tcW w:w="868" w:type="dxa"/>
            <w:noWrap w:val="0"/>
            <w:vAlign w:val="center"/>
          </w:tcPr>
          <w:p w14:paraId="7467E2B1">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6C206217">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112EC54E">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1B4C5C64">
            <w:pPr>
              <w:jc w:val="center"/>
              <w:rPr>
                <w:rFonts w:hint="eastAsia" w:ascii="宋体" w:hAnsi="宋体" w:eastAsia="宋体" w:cs="宋体"/>
                <w:b w:val="0"/>
                <w:bCs w:val="0"/>
                <w:color w:val="000000" w:themeColor="text1"/>
                <w:kern w:val="2"/>
                <w:sz w:val="21"/>
                <w:szCs w:val="21"/>
                <w:lang w:val="zh-CN" w:eastAsia="zh-CN" w:bidi="ar-SA"/>
                <w14:textFill>
                  <w14:solidFill>
                    <w14:schemeClr w14:val="tx1"/>
                  </w14:solidFill>
                </w14:textFill>
              </w:rPr>
            </w:pPr>
          </w:p>
        </w:tc>
        <w:tc>
          <w:tcPr>
            <w:tcW w:w="1700" w:type="dxa"/>
            <w:noWrap w:val="0"/>
            <w:vAlign w:val="center"/>
          </w:tcPr>
          <w:p w14:paraId="31435FE7">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ascii="宋体" w:hAnsi="宋体" w:eastAsia="宋体" w:cs="宋体"/>
                <w:b w:val="0"/>
                <w:bCs w:val="0"/>
                <w:color w:val="000000" w:themeColor="text1"/>
                <w:sz w:val="21"/>
                <w:szCs w:val="21"/>
                <w14:textFill>
                  <w14:solidFill>
                    <w14:schemeClr w14:val="tx1"/>
                  </w14:solidFill>
                </w14:textFill>
              </w:rPr>
              <w:t>68694119</w:t>
            </w:r>
          </w:p>
        </w:tc>
      </w:tr>
      <w:tr w14:paraId="3FE7AE4C">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2AF3FEB4">
            <w:pPr>
              <w:keepNext w:val="0"/>
              <w:keepLines w:val="0"/>
              <w:suppressLineNumbers w:val="0"/>
              <w:spacing w:before="0" w:beforeAutospacing="0" w:after="0" w:afterAutospacing="0"/>
              <w:ind w:left="0" w:leftChars="0" w:right="0" w:rightChars="0" w:firstLine="117" w:firstLineChars="0"/>
              <w:jc w:val="center"/>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eastAsia="zh-CN"/>
                <w14:textFill>
                  <w14:solidFill>
                    <w14:schemeClr w14:val="tx1"/>
                  </w14:solidFill>
                </w14:textFill>
              </w:rPr>
              <w:t>安宁市</w:t>
            </w:r>
            <w:r>
              <w:rPr>
                <w:rFonts w:hint="eastAsia"/>
                <w:b w:val="0"/>
                <w:bCs w:val="0"/>
                <w:color w:val="000000" w:themeColor="text1"/>
                <w:szCs w:val="21"/>
                <w14:textFill>
                  <w14:solidFill>
                    <w14:schemeClr w14:val="tx1"/>
                  </w14:solidFill>
                </w14:textFill>
              </w:rPr>
              <w:t>消防大队</w:t>
            </w:r>
          </w:p>
        </w:tc>
        <w:tc>
          <w:tcPr>
            <w:tcW w:w="868" w:type="dxa"/>
            <w:noWrap w:val="0"/>
            <w:vAlign w:val="center"/>
          </w:tcPr>
          <w:p w14:paraId="1D0A248D">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5916BEED">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15A1D34B">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646A315A">
            <w:pPr>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7679B5AE">
            <w:pPr>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119</w:t>
            </w:r>
          </w:p>
        </w:tc>
      </w:tr>
      <w:tr w14:paraId="4C4A42D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647CA05E">
            <w:pPr>
              <w:pStyle w:val="48"/>
              <w:bidi w:val="0"/>
              <w:ind w:firstLine="0" w:firstLineChars="0"/>
              <w:rPr>
                <w:rFonts w:hint="default"/>
                <w:b w:val="0"/>
                <w:bCs w:val="0"/>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安丰营村委会</w:t>
            </w:r>
          </w:p>
        </w:tc>
        <w:tc>
          <w:tcPr>
            <w:tcW w:w="868" w:type="dxa"/>
            <w:noWrap w:val="0"/>
            <w:vAlign w:val="center"/>
          </w:tcPr>
          <w:p w14:paraId="5EA93C1F">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19F8575C">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44960679">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66416CE6">
            <w:pPr>
              <w:autoSpaceDE w:val="0"/>
              <w:autoSpaceDN w:val="0"/>
              <w:adjustRightInd w:val="0"/>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5A228E84">
            <w:pPr>
              <w:jc w:val="center"/>
              <w:rPr>
                <w:rFonts w:hint="default" w:ascii="宋体" w:hAnsi="宋体" w:cs="宋体"/>
                <w:b w:val="0"/>
                <w:bCs w:val="0"/>
                <w:color w:val="000000" w:themeColor="text1"/>
                <w:szCs w:val="21"/>
                <w:lang w:val="en-US" w:eastAsia="zh-CN"/>
                <w14:textFill>
                  <w14:solidFill>
                    <w14:schemeClr w14:val="tx1"/>
                  </w14:solidFill>
                </w14:textFill>
              </w:rPr>
            </w:pPr>
            <w:r>
              <w:rPr>
                <w:rFonts w:hint="eastAsia"/>
                <w:color w:val="000000" w:themeColor="text1"/>
                <w:szCs w:val="21"/>
                <w:lang w:val="en-US" w:eastAsia="zh-CN"/>
                <w14:textFill>
                  <w14:solidFill>
                    <w14:schemeClr w14:val="tx1"/>
                  </w14:solidFill>
                </w14:textFill>
              </w:rPr>
              <w:t>15987196985</w:t>
            </w:r>
          </w:p>
        </w:tc>
      </w:tr>
      <w:tr w14:paraId="4B11527A">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2FE6B6C3">
            <w:pPr>
              <w:pStyle w:val="48"/>
              <w:bidi w:val="0"/>
              <w:ind w:firstLine="0" w:firstLineChars="0"/>
              <w:rPr>
                <w:rFonts w:hint="eastAsia"/>
                <w:b w:val="0"/>
                <w:bCs w:val="0"/>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上禄裱村委会</w:t>
            </w:r>
          </w:p>
        </w:tc>
        <w:tc>
          <w:tcPr>
            <w:tcW w:w="868" w:type="dxa"/>
            <w:noWrap w:val="0"/>
            <w:vAlign w:val="center"/>
          </w:tcPr>
          <w:p w14:paraId="2C0257AB">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29300385">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5CE7F64E">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51E07BF4">
            <w:pPr>
              <w:autoSpaceDE w:val="0"/>
              <w:autoSpaceDN w:val="0"/>
              <w:adjustRightInd w:val="0"/>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5D788561">
            <w:pPr>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color w:val="000000" w:themeColor="text1"/>
                <w:szCs w:val="21"/>
                <w:lang w:val="en-US" w:eastAsia="zh-CN"/>
                <w14:textFill>
                  <w14:solidFill>
                    <w14:schemeClr w14:val="tx1"/>
                  </w14:solidFill>
                </w14:textFill>
              </w:rPr>
              <w:t>15388741995</w:t>
            </w:r>
          </w:p>
        </w:tc>
      </w:tr>
      <w:tr w14:paraId="1EAA5C0F">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570B26BC">
            <w:pPr>
              <w:pStyle w:val="48"/>
              <w:bidi w:val="0"/>
              <w:ind w:firstLine="0" w:firstLineChars="0"/>
              <w:rPr>
                <w:rFonts w:hint="eastAsia"/>
                <w:b w:val="0"/>
                <w:bCs w:val="0"/>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邑头村委会</w:t>
            </w:r>
          </w:p>
        </w:tc>
        <w:tc>
          <w:tcPr>
            <w:tcW w:w="868" w:type="dxa"/>
            <w:noWrap w:val="0"/>
            <w:vAlign w:val="center"/>
          </w:tcPr>
          <w:p w14:paraId="230D5CA0">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041CBC70">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5931C2D3">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5C946754">
            <w:pPr>
              <w:autoSpaceDE w:val="0"/>
              <w:autoSpaceDN w:val="0"/>
              <w:adjustRightInd w:val="0"/>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519C9A76">
            <w:pPr>
              <w:autoSpaceDE w:val="0"/>
              <w:autoSpaceDN w:val="0"/>
              <w:adjustRightInd w:val="0"/>
              <w:spacing w:line="360" w:lineRule="auto"/>
              <w:ind w:firstLine="140" w:firstLineChars="0"/>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color w:val="000000" w:themeColor="text1"/>
                <w:sz w:val="21"/>
                <w:szCs w:val="21"/>
                <w:highlight w:val="none"/>
                <w:lang w:val="en-US" w:eastAsia="zh-CN"/>
                <w14:textFill>
                  <w14:solidFill>
                    <w14:schemeClr w14:val="tx1"/>
                  </w14:solidFill>
                </w14:textFill>
              </w:rPr>
              <w:t>15287194338</w:t>
            </w:r>
          </w:p>
        </w:tc>
      </w:tr>
      <w:tr w14:paraId="55274497">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7966D8EF">
            <w:pPr>
              <w:autoSpaceDE w:val="0"/>
              <w:autoSpaceDN w:val="0"/>
              <w:adjustRightInd w:val="0"/>
              <w:jc w:val="center"/>
              <w:rPr>
                <w:rFonts w:hint="eastAsia"/>
                <w:b w:val="0"/>
                <w:bCs w:val="0"/>
                <w:color w:val="000000" w:themeColor="text1"/>
                <w:szCs w:val="21"/>
                <w:lang w:val="en-US" w:eastAsia="zh-CN"/>
                <w14:textFill>
                  <w14:solidFill>
                    <w14:schemeClr w14:val="tx1"/>
                  </w14:solidFill>
                </w14:textFill>
              </w:rPr>
            </w:pPr>
            <w:r>
              <w:rPr>
                <w:rFonts w:hint="eastAsia" w:asciiTheme="minorEastAsia" w:hAnsiTheme="minorEastAsia" w:eastAsiaTheme="minorEastAsia" w:cstheme="minorEastAsia"/>
                <w:b w:val="0"/>
                <w:bCs/>
                <w:color w:val="000000" w:themeColor="text1"/>
                <w:kern w:val="0"/>
                <w:sz w:val="21"/>
                <w:szCs w:val="21"/>
                <w:highlight w:val="none"/>
                <w:lang w:val="en-US" w:eastAsia="zh-CN" w:bidi="ar-SA"/>
                <w14:textFill>
                  <w14:solidFill>
                    <w14:schemeClr w14:val="tx1"/>
                  </w14:solidFill>
                </w14:textFill>
              </w:rPr>
              <w:t>云丰村委会</w:t>
            </w:r>
          </w:p>
        </w:tc>
        <w:tc>
          <w:tcPr>
            <w:tcW w:w="868" w:type="dxa"/>
            <w:noWrap w:val="0"/>
            <w:vAlign w:val="center"/>
          </w:tcPr>
          <w:p w14:paraId="7D600B41">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08B02E6E">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4C03887F">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6480031D">
            <w:pPr>
              <w:autoSpaceDE w:val="0"/>
              <w:autoSpaceDN w:val="0"/>
              <w:adjustRightInd w:val="0"/>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3EE6A45C">
            <w:pPr>
              <w:autoSpaceDE w:val="0"/>
              <w:autoSpaceDN w:val="0"/>
              <w:adjustRightInd w:val="0"/>
              <w:spacing w:line="360" w:lineRule="auto"/>
              <w:ind w:firstLine="140" w:firstLineChars="0"/>
              <w:jc w:val="center"/>
              <w:rPr>
                <w:rFonts w:hint="eastAsia"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color w:val="000000" w:themeColor="text1"/>
                <w:sz w:val="21"/>
                <w:szCs w:val="21"/>
                <w:highlight w:val="none"/>
                <w:lang w:val="en-US" w:eastAsia="zh-CN"/>
                <w14:textFill>
                  <w14:solidFill>
                    <w14:schemeClr w14:val="tx1"/>
                  </w14:solidFill>
                </w14:textFill>
              </w:rPr>
              <w:t>13698794206</w:t>
            </w:r>
          </w:p>
        </w:tc>
      </w:tr>
      <w:tr w14:paraId="5D5FB4B1">
        <w:tblPrEx>
          <w:tblBorders>
            <w:top w:val="single" w:color="auto" w:sz="12" w:space="0"/>
            <w:left w:val="single" w:color="auto" w:sz="12" w:space="0"/>
            <w:bottom w:val="single" w:color="auto" w:sz="12" w:space="0"/>
            <w:right w:val="single" w:color="auto" w:sz="12" w:space="0"/>
            <w:insideH w:val="single" w:color="auto" w:sz="6" w:space="0"/>
            <w:insideV w:val="single" w:color="auto" w:sz="6" w:space="0"/>
          </w:tblBorders>
          <w:tblCellMar>
            <w:top w:w="0" w:type="dxa"/>
            <w:left w:w="108" w:type="dxa"/>
            <w:bottom w:w="0" w:type="dxa"/>
            <w:right w:w="108" w:type="dxa"/>
          </w:tblCellMar>
        </w:tblPrEx>
        <w:trPr>
          <w:jc w:val="center"/>
        </w:trPr>
        <w:tc>
          <w:tcPr>
            <w:tcW w:w="1958" w:type="dxa"/>
            <w:noWrap w:val="0"/>
            <w:vAlign w:val="center"/>
          </w:tcPr>
          <w:p w14:paraId="487752A0">
            <w:pPr>
              <w:keepNext w:val="0"/>
              <w:keepLines w:val="0"/>
              <w:suppressLineNumbers w:val="0"/>
              <w:spacing w:before="0" w:beforeAutospacing="0" w:after="0" w:afterAutospacing="0"/>
              <w:ind w:left="0" w:leftChars="0" w:right="0" w:rightChars="0" w:firstLine="117" w:firstLineChars="0"/>
              <w:jc w:val="center"/>
              <w:rPr>
                <w:rFonts w:hint="default"/>
                <w:b w:val="0"/>
                <w:bCs w:val="0"/>
                <w:color w:val="000000" w:themeColor="text1"/>
                <w:szCs w:val="21"/>
                <w:lang w:val="en-US" w:eastAsia="zh-CN"/>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安宁产业园区管委会</w:t>
            </w:r>
          </w:p>
        </w:tc>
        <w:tc>
          <w:tcPr>
            <w:tcW w:w="868" w:type="dxa"/>
            <w:noWrap w:val="0"/>
            <w:vAlign w:val="center"/>
          </w:tcPr>
          <w:p w14:paraId="66594AFF">
            <w:pPr>
              <w:jc w:val="center"/>
              <w:rPr>
                <w:rFonts w:hint="default"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530" w:type="dxa"/>
            <w:noWrap w:val="0"/>
            <w:vAlign w:val="center"/>
          </w:tcPr>
          <w:p w14:paraId="4A65830C">
            <w:pPr>
              <w:jc w:val="center"/>
              <w:rPr>
                <w:rFonts w:hint="eastAsia" w:ascii="Times New Roman" w:hAnsi="Times New Roman" w:eastAsia="宋体" w:cs="Times New Roman"/>
                <w:b w:val="0"/>
                <w:bCs w:val="0"/>
                <w:color w:val="000000" w:themeColor="text1"/>
                <w:kern w:val="2"/>
                <w:sz w:val="21"/>
                <w:szCs w:val="21"/>
                <w:lang w:val="zh-CN"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395" w:type="dxa"/>
            <w:noWrap w:val="0"/>
            <w:vAlign w:val="center"/>
          </w:tcPr>
          <w:p w14:paraId="6C6A3F1D">
            <w:pPr>
              <w:jc w:val="center"/>
              <w:rPr>
                <w:rFonts w:hint="eastAsia" w:ascii="Times New Roman" w:hAnsi="Times New Roman" w:eastAsia="宋体" w:cs="Times New Roman"/>
                <w:b w:val="0"/>
                <w:bCs w:val="0"/>
                <w:color w:val="000000" w:themeColor="text1"/>
                <w:kern w:val="2"/>
                <w:sz w:val="21"/>
                <w:szCs w:val="21"/>
                <w:lang w:val="en-US" w:eastAsia="zh-CN" w:bidi="ar-SA"/>
                <w14:textFill>
                  <w14:solidFill>
                    <w14:schemeClr w14:val="tx1"/>
                  </w14:solidFill>
                </w14:textFill>
              </w:rPr>
            </w:pPr>
            <w:r>
              <w:rPr>
                <w:rFonts w:hint="eastAsia"/>
                <w:b w:val="0"/>
                <w:bCs w:val="0"/>
                <w:color w:val="000000" w:themeColor="text1"/>
                <w:szCs w:val="21"/>
                <w:lang w:val="en-US" w:eastAsia="zh-CN"/>
                <w14:textFill>
                  <w14:solidFill>
                    <w14:schemeClr w14:val="tx1"/>
                  </w14:solidFill>
                </w14:textFill>
              </w:rPr>
              <w:t>--</w:t>
            </w:r>
          </w:p>
        </w:tc>
        <w:tc>
          <w:tcPr>
            <w:tcW w:w="1620" w:type="dxa"/>
            <w:noWrap w:val="0"/>
            <w:vAlign w:val="center"/>
          </w:tcPr>
          <w:p w14:paraId="61EFB6CB">
            <w:pPr>
              <w:jc w:val="center"/>
              <w:rPr>
                <w:rFonts w:hint="eastAsia" w:ascii="宋体" w:hAnsi="宋体" w:cs="宋体"/>
                <w:b w:val="0"/>
                <w:bCs w:val="0"/>
                <w:color w:val="000000" w:themeColor="text1"/>
                <w:szCs w:val="21"/>
                <w:lang w:val="zh-CN" w:eastAsia="zh-CN"/>
                <w14:textFill>
                  <w14:solidFill>
                    <w14:schemeClr w14:val="tx1"/>
                  </w14:solidFill>
                </w14:textFill>
              </w:rPr>
            </w:pPr>
          </w:p>
        </w:tc>
        <w:tc>
          <w:tcPr>
            <w:tcW w:w="1700" w:type="dxa"/>
            <w:noWrap w:val="0"/>
            <w:vAlign w:val="center"/>
          </w:tcPr>
          <w:p w14:paraId="2590D261">
            <w:pPr>
              <w:jc w:val="center"/>
              <w:rPr>
                <w:rFonts w:hint="default" w:ascii="宋体" w:hAnsi="宋体" w:cs="宋体"/>
                <w:b w:val="0"/>
                <w:bCs w:val="0"/>
                <w:color w:val="000000" w:themeColor="text1"/>
                <w:szCs w:val="21"/>
                <w:lang w:val="en-US" w:eastAsia="zh-CN"/>
                <w14:textFill>
                  <w14:solidFill>
                    <w14:schemeClr w14:val="tx1"/>
                  </w14:solidFill>
                </w14:textFill>
              </w:rPr>
            </w:pPr>
            <w:r>
              <w:rPr>
                <w:rFonts w:hint="eastAsia" w:ascii="宋体" w:hAnsi="宋体" w:cs="宋体"/>
                <w:b w:val="0"/>
                <w:bCs w:val="0"/>
                <w:color w:val="000000" w:themeColor="text1"/>
                <w:szCs w:val="21"/>
                <w:lang w:val="en-US" w:eastAsia="zh-CN"/>
                <w14:textFill>
                  <w14:solidFill>
                    <w14:schemeClr w14:val="tx1"/>
                  </w14:solidFill>
                </w14:textFill>
              </w:rPr>
              <w:t>0871-64871003</w:t>
            </w:r>
          </w:p>
        </w:tc>
      </w:tr>
    </w:tbl>
    <w:p w14:paraId="782899AC">
      <w:pPr>
        <w:jc w:val="both"/>
        <w:rPr>
          <w:rFonts w:hint="eastAsia" w:ascii="宋体" w:hAnsi="宋体" w:cs="仿宋"/>
          <w:color w:val="000000" w:themeColor="text1"/>
          <w14:textFill>
            <w14:solidFill>
              <w14:schemeClr w14:val="tx1"/>
            </w14:solidFill>
          </w14:textFill>
        </w:rPr>
      </w:pPr>
    </w:p>
    <w:p w14:paraId="4C14A184">
      <w:pPr>
        <w:jc w:val="center"/>
        <w:rPr>
          <w:rFonts w:hint="eastAsia" w:ascii="宋体" w:hAnsi="宋体" w:cs="仿宋"/>
          <w:color w:val="000000" w:themeColor="text1"/>
          <w14:textFill>
            <w14:solidFill>
              <w14:schemeClr w14:val="tx1"/>
            </w14:solidFill>
          </w14:textFill>
        </w:rPr>
      </w:pPr>
    </w:p>
    <w:p w14:paraId="58102D14">
      <w:pPr>
        <w:jc w:val="center"/>
        <w:rPr>
          <w:rFonts w:hint="eastAsia" w:ascii="宋体" w:hAnsi="宋体" w:cs="仿宋"/>
          <w:color w:val="000000" w:themeColor="text1"/>
          <w14:textFill>
            <w14:solidFill>
              <w14:schemeClr w14:val="tx1"/>
            </w14:solidFill>
          </w14:textFill>
        </w:rPr>
      </w:pPr>
      <w:r>
        <w:rPr>
          <w:rFonts w:hint="eastAsia" w:ascii="宋体" w:hAnsi="宋体" w:cs="仿宋"/>
          <w:color w:val="000000" w:themeColor="text1"/>
          <w14:textFill>
            <w14:solidFill>
              <w14:schemeClr w14:val="tx1"/>
            </w14:solidFill>
          </w14:textFill>
        </w:rPr>
        <w:t>表</w:t>
      </w:r>
      <w:r>
        <w:rPr>
          <w:rFonts w:hint="eastAsia" w:ascii="宋体" w:hAnsi="宋体" w:cs="仿宋"/>
          <w:color w:val="000000" w:themeColor="text1"/>
          <w:lang w:val="en-US" w:eastAsia="zh-CN"/>
          <w14:textFill>
            <w14:solidFill>
              <w14:schemeClr w14:val="tx1"/>
            </w14:solidFill>
          </w14:textFill>
        </w:rPr>
        <w:t>3</w:t>
      </w:r>
      <w:r>
        <w:rPr>
          <w:rFonts w:hint="eastAsia" w:ascii="宋体" w:hAnsi="宋体" w:cs="仿宋"/>
          <w:color w:val="000000" w:themeColor="text1"/>
          <w14:textFill>
            <w14:solidFill>
              <w14:schemeClr w14:val="tx1"/>
            </w14:solidFill>
          </w14:textFill>
        </w:rPr>
        <w:t>-</w:t>
      </w:r>
      <w:r>
        <w:rPr>
          <w:rFonts w:hint="eastAsia" w:ascii="宋体" w:hAnsi="宋体" w:cs="仿宋"/>
          <w:color w:val="000000" w:themeColor="text1"/>
          <w:lang w:val="en-US" w:eastAsia="zh-CN"/>
          <w14:textFill>
            <w14:solidFill>
              <w14:schemeClr w14:val="tx1"/>
            </w14:solidFill>
          </w14:textFill>
        </w:rPr>
        <w:t>8</w:t>
      </w:r>
      <w:r>
        <w:rPr>
          <w:rFonts w:hint="eastAsia" w:ascii="宋体" w:hAnsi="宋体" w:cs="仿宋"/>
          <w:color w:val="000000" w:themeColor="text1"/>
          <w14:textFill>
            <w14:solidFill>
              <w14:schemeClr w14:val="tx1"/>
            </w14:solidFill>
          </w14:textFill>
        </w:rPr>
        <w:t xml:space="preserve">  应急救援器材设备配备一览表</w:t>
      </w:r>
    </w:p>
    <w:tbl>
      <w:tblPr>
        <w:tblStyle w:val="23"/>
        <w:tblW w:w="90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0" w:type="dxa"/>
          <w:bottom w:w="0" w:type="dxa"/>
          <w:right w:w="0" w:type="dxa"/>
        </w:tblCellMar>
      </w:tblPr>
      <w:tblGrid>
        <w:gridCol w:w="1353"/>
        <w:gridCol w:w="1337"/>
        <w:gridCol w:w="599"/>
        <w:gridCol w:w="1003"/>
        <w:gridCol w:w="234"/>
        <w:gridCol w:w="489"/>
        <w:gridCol w:w="825"/>
        <w:gridCol w:w="1291"/>
        <w:gridCol w:w="1940"/>
      </w:tblGrid>
      <w:tr w14:paraId="5707052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02" w:hRule="exact"/>
          <w:jc w:val="center"/>
        </w:trPr>
        <w:tc>
          <w:tcPr>
            <w:tcW w:w="1353" w:type="dxa"/>
            <w:tcBorders>
              <w:tl2br w:val="nil"/>
              <w:tr2bl w:val="nil"/>
            </w:tcBorders>
            <w:noWrap w:val="0"/>
            <w:vAlign w:val="center"/>
          </w:tcPr>
          <w:p w14:paraId="17D2BF8C">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单位名称</w:t>
            </w:r>
          </w:p>
        </w:tc>
        <w:tc>
          <w:tcPr>
            <w:tcW w:w="7718" w:type="dxa"/>
            <w:gridSpan w:val="8"/>
            <w:tcBorders>
              <w:tl2br w:val="nil"/>
              <w:tr2bl w:val="nil"/>
            </w:tcBorders>
            <w:noWrap w:val="0"/>
            <w:vAlign w:val="center"/>
          </w:tcPr>
          <w:p w14:paraId="3D203852">
            <w:pPr>
              <w:adjustRightInd w:val="0"/>
              <w:snapToGrid w:val="0"/>
              <w:spacing w:line="240" w:lineRule="auto"/>
              <w:jc w:val="center"/>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 w:val="21"/>
                <w:szCs w:val="21"/>
                <w:lang w:eastAsia="zh-CN"/>
                <w14:textFill>
                  <w14:solidFill>
                    <w14:schemeClr w14:val="tx1"/>
                  </w14:solidFill>
                </w14:textFill>
              </w:rPr>
              <w:t>安宁泰丰林化工有限公司</w:t>
            </w:r>
          </w:p>
        </w:tc>
      </w:tr>
      <w:tr w14:paraId="2B33305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652" w:hRule="exact"/>
          <w:jc w:val="center"/>
        </w:trPr>
        <w:tc>
          <w:tcPr>
            <w:tcW w:w="1353" w:type="dxa"/>
            <w:tcBorders>
              <w:tl2br w:val="nil"/>
              <w:tr2bl w:val="nil"/>
            </w:tcBorders>
            <w:noWrap w:val="0"/>
            <w:vAlign w:val="center"/>
          </w:tcPr>
          <w:p w14:paraId="389C8931">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物资库位置</w:t>
            </w:r>
          </w:p>
        </w:tc>
        <w:tc>
          <w:tcPr>
            <w:tcW w:w="3173" w:type="dxa"/>
            <w:gridSpan w:val="4"/>
            <w:tcBorders>
              <w:tl2br w:val="nil"/>
              <w:tr2bl w:val="nil"/>
            </w:tcBorders>
            <w:noWrap w:val="0"/>
            <w:vAlign w:val="center"/>
          </w:tcPr>
          <w:p w14:paraId="6F922CE2">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应急物资存放点</w:t>
            </w:r>
          </w:p>
        </w:tc>
        <w:tc>
          <w:tcPr>
            <w:tcW w:w="1314" w:type="dxa"/>
            <w:gridSpan w:val="2"/>
            <w:tcBorders>
              <w:tl2br w:val="nil"/>
              <w:tr2bl w:val="nil"/>
            </w:tcBorders>
            <w:noWrap w:val="0"/>
            <w:vAlign w:val="center"/>
          </w:tcPr>
          <w:p w14:paraId="6B6E781D">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经纬度</w:t>
            </w:r>
          </w:p>
        </w:tc>
        <w:tc>
          <w:tcPr>
            <w:tcW w:w="3231" w:type="dxa"/>
            <w:gridSpan w:val="2"/>
            <w:tcBorders>
              <w:tl2br w:val="nil"/>
              <w:tr2bl w:val="nil"/>
            </w:tcBorders>
            <w:noWrap w:val="0"/>
            <w:vAlign w:val="center"/>
          </w:tcPr>
          <w:p w14:paraId="3E0F912F">
            <w:pPr>
              <w:adjustRightInd w:val="0"/>
              <w:snapToGrid w:val="0"/>
              <w:spacing w:line="240" w:lineRule="auto"/>
              <w:jc w:val="cente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东经103°16'41.102"</w:t>
            </w:r>
          </w:p>
          <w:p w14:paraId="7584B25D">
            <w:pPr>
              <w:pStyle w:val="2"/>
              <w:tabs>
                <w:tab w:val="left" w:pos="840"/>
              </w:tabs>
              <w:jc w:val="center"/>
              <w:rPr>
                <w:rFonts w:hint="eastAsia"/>
                <w:color w:val="000000" w:themeColor="text1"/>
                <w14:textFill>
                  <w14:solidFill>
                    <w14:schemeClr w14:val="tx1"/>
                  </w14:solidFill>
                </w14:textFill>
              </w:rPr>
            </w:pP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北纬24</w:t>
            </w:r>
            <w:r>
              <w:rPr>
                <w:rFonts w:hint="eastAsia" w:asciiTheme="minorEastAsia" w:hAnsiTheme="minorEastAsia" w:eastAsiaTheme="minorEastAsia" w:cstheme="minorEastAsia"/>
                <w:color w:val="000000" w:themeColor="text1"/>
                <w:sz w:val="21"/>
                <w:szCs w:val="21"/>
                <w14:textFill>
                  <w14:solidFill>
                    <w14:schemeClr w14:val="tx1"/>
                  </w14:solidFill>
                </w14:textFill>
              </w:rPr>
              <w:t>°</w:t>
            </w:r>
            <w:r>
              <w:rPr>
                <w:rFonts w:hint="eastAsia" w:asciiTheme="minorEastAsia" w:hAnsiTheme="minorEastAsia" w:eastAsiaTheme="minorEastAsia" w:cstheme="minorEastAsia"/>
                <w:color w:val="000000" w:themeColor="text1"/>
                <w:sz w:val="21"/>
                <w:szCs w:val="21"/>
                <w:lang w:val="en-US" w:eastAsia="zh-CN"/>
                <w14:textFill>
                  <w14:solidFill>
                    <w14:schemeClr w14:val="tx1"/>
                  </w14:solidFill>
                </w14:textFill>
              </w:rPr>
              <w:t>57'53.708"</w:t>
            </w:r>
          </w:p>
        </w:tc>
      </w:tr>
      <w:tr w14:paraId="0904EF6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12" w:hRule="exact"/>
          <w:jc w:val="center"/>
        </w:trPr>
        <w:tc>
          <w:tcPr>
            <w:tcW w:w="1353" w:type="dxa"/>
            <w:vMerge w:val="restart"/>
            <w:tcBorders>
              <w:tl2br w:val="nil"/>
              <w:tr2bl w:val="nil"/>
            </w:tcBorders>
            <w:noWrap w:val="0"/>
            <w:vAlign w:val="center"/>
          </w:tcPr>
          <w:p w14:paraId="17C40389">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负责人</w:t>
            </w:r>
          </w:p>
        </w:tc>
        <w:tc>
          <w:tcPr>
            <w:tcW w:w="1337" w:type="dxa"/>
            <w:tcBorders>
              <w:tl2br w:val="nil"/>
              <w:tr2bl w:val="nil"/>
            </w:tcBorders>
            <w:noWrap w:val="0"/>
            <w:vAlign w:val="center"/>
          </w:tcPr>
          <w:p w14:paraId="000DC713">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姓名</w:t>
            </w:r>
          </w:p>
        </w:tc>
        <w:tc>
          <w:tcPr>
            <w:tcW w:w="1836" w:type="dxa"/>
            <w:gridSpan w:val="3"/>
            <w:tcBorders>
              <w:tl2br w:val="nil"/>
              <w:tr2bl w:val="nil"/>
            </w:tcBorders>
            <w:noWrap w:val="0"/>
            <w:vAlign w:val="center"/>
          </w:tcPr>
          <w:p w14:paraId="5ADF26F0">
            <w:pPr>
              <w:adjustRightInd w:val="0"/>
              <w:snapToGrid w:val="0"/>
              <w:spacing w:line="240" w:lineRule="auto"/>
              <w:jc w:val="center"/>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color w:val="000000" w:themeColor="text1"/>
                <w:szCs w:val="21"/>
                <w:lang w:eastAsia="zh-CN"/>
                <w14:textFill>
                  <w14:solidFill>
                    <w14:schemeClr w14:val="tx1"/>
                  </w14:solidFill>
                </w14:textFill>
              </w:rPr>
              <w:t>李</w:t>
            </w:r>
            <w:r>
              <w:rPr>
                <w:rFonts w:hint="eastAsia"/>
                <w:color w:val="000000" w:themeColor="text1"/>
                <w:szCs w:val="21"/>
                <w:lang w:val="en-US" w:eastAsia="zh-CN"/>
                <w14:textFill>
                  <w14:solidFill>
                    <w14:schemeClr w14:val="tx1"/>
                  </w14:solidFill>
                </w14:textFill>
              </w:rPr>
              <w:t>云</w:t>
            </w:r>
          </w:p>
        </w:tc>
        <w:tc>
          <w:tcPr>
            <w:tcW w:w="1314" w:type="dxa"/>
            <w:gridSpan w:val="2"/>
            <w:vMerge w:val="restart"/>
            <w:tcBorders>
              <w:tl2br w:val="nil"/>
              <w:tr2bl w:val="nil"/>
            </w:tcBorders>
            <w:noWrap w:val="0"/>
            <w:vAlign w:val="center"/>
          </w:tcPr>
          <w:p w14:paraId="3A862A70">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联系人</w:t>
            </w:r>
          </w:p>
        </w:tc>
        <w:tc>
          <w:tcPr>
            <w:tcW w:w="1291" w:type="dxa"/>
            <w:tcBorders>
              <w:tl2br w:val="nil"/>
              <w:tr2bl w:val="nil"/>
            </w:tcBorders>
            <w:noWrap w:val="0"/>
            <w:vAlign w:val="center"/>
          </w:tcPr>
          <w:p w14:paraId="4B28C804">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姓名</w:t>
            </w:r>
          </w:p>
        </w:tc>
        <w:tc>
          <w:tcPr>
            <w:tcW w:w="1940" w:type="dxa"/>
            <w:tcBorders>
              <w:tl2br w:val="nil"/>
              <w:tr2bl w:val="nil"/>
            </w:tcBorders>
            <w:noWrap w:val="0"/>
            <w:vAlign w:val="center"/>
          </w:tcPr>
          <w:p w14:paraId="60984383">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eastAsia="zh-CN"/>
                <w14:textFill>
                  <w14:solidFill>
                    <w14:schemeClr w14:val="tx1"/>
                  </w14:solidFill>
                </w14:textFill>
              </w:rPr>
              <w:t>张俊义</w:t>
            </w:r>
          </w:p>
        </w:tc>
      </w:tr>
      <w:tr w14:paraId="1B4D35A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7" w:hRule="exact"/>
          <w:jc w:val="center"/>
        </w:trPr>
        <w:tc>
          <w:tcPr>
            <w:tcW w:w="1353" w:type="dxa"/>
            <w:vMerge w:val="continue"/>
            <w:tcBorders>
              <w:tl2br w:val="nil"/>
              <w:tr2bl w:val="nil"/>
            </w:tcBorders>
            <w:noWrap w:val="0"/>
            <w:vAlign w:val="center"/>
          </w:tcPr>
          <w:p w14:paraId="12946E75">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p>
        </w:tc>
        <w:tc>
          <w:tcPr>
            <w:tcW w:w="1337" w:type="dxa"/>
            <w:tcBorders>
              <w:tl2br w:val="nil"/>
              <w:tr2bl w:val="nil"/>
            </w:tcBorders>
            <w:noWrap w:val="0"/>
            <w:vAlign w:val="center"/>
          </w:tcPr>
          <w:p w14:paraId="43E91D68">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联系方式</w:t>
            </w:r>
          </w:p>
        </w:tc>
        <w:tc>
          <w:tcPr>
            <w:tcW w:w="1836" w:type="dxa"/>
            <w:gridSpan w:val="3"/>
            <w:tcBorders>
              <w:tl2br w:val="nil"/>
              <w:tr2bl w:val="nil"/>
            </w:tcBorders>
            <w:noWrap w:val="0"/>
            <w:vAlign w:val="center"/>
          </w:tcPr>
          <w:p w14:paraId="77AED93C">
            <w:pPr>
              <w:adjustRightInd w:val="0"/>
              <w:snapToGrid w:val="0"/>
              <w:spacing w:line="240" w:lineRule="auto"/>
              <w:jc w:val="center"/>
              <w:rPr>
                <w:rFonts w:hint="eastAsia" w:ascii="宋体" w:hAnsi="宋体" w:eastAsia="宋体" w:cs="宋体"/>
                <w:color w:val="000000" w:themeColor="text1"/>
                <w:sz w:val="21"/>
                <w:szCs w:val="21"/>
                <w:lang w:eastAsia="zh-CN"/>
                <w14:textFill>
                  <w14:solidFill>
                    <w14:schemeClr w14:val="tx1"/>
                  </w14:solidFill>
                </w14:textFill>
              </w:rPr>
            </w:pPr>
            <w:r>
              <w:rPr>
                <w:rFonts w:hint="eastAsia"/>
                <w:color w:val="000000" w:themeColor="text1"/>
                <w:szCs w:val="21"/>
                <w:lang w:val="en-US" w:eastAsia="zh-CN"/>
                <w14:textFill>
                  <w14:solidFill>
                    <w14:schemeClr w14:val="tx1"/>
                  </w14:solidFill>
                </w14:textFill>
              </w:rPr>
              <w:t>18288653044</w:t>
            </w:r>
          </w:p>
        </w:tc>
        <w:tc>
          <w:tcPr>
            <w:tcW w:w="1314" w:type="dxa"/>
            <w:gridSpan w:val="2"/>
            <w:vMerge w:val="continue"/>
            <w:tcBorders>
              <w:tl2br w:val="nil"/>
              <w:tr2bl w:val="nil"/>
            </w:tcBorders>
            <w:noWrap w:val="0"/>
            <w:vAlign w:val="center"/>
          </w:tcPr>
          <w:p w14:paraId="2EB8B866">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p>
        </w:tc>
        <w:tc>
          <w:tcPr>
            <w:tcW w:w="1291" w:type="dxa"/>
            <w:tcBorders>
              <w:tl2br w:val="nil"/>
              <w:tr2bl w:val="nil"/>
            </w:tcBorders>
            <w:noWrap w:val="0"/>
            <w:vAlign w:val="center"/>
          </w:tcPr>
          <w:p w14:paraId="5FDCA864">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联系方式</w:t>
            </w:r>
          </w:p>
        </w:tc>
        <w:tc>
          <w:tcPr>
            <w:tcW w:w="1940" w:type="dxa"/>
            <w:tcBorders>
              <w:tl2br w:val="nil"/>
              <w:tr2bl w:val="nil"/>
            </w:tcBorders>
            <w:noWrap w:val="0"/>
            <w:vAlign w:val="center"/>
          </w:tcPr>
          <w:p w14:paraId="5240B5BF">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cs="宋体"/>
                <w:color w:val="000000" w:themeColor="text1"/>
                <w:szCs w:val="21"/>
                <w:lang w:val="en-US" w:eastAsia="zh-CN"/>
                <w14:textFill>
                  <w14:solidFill>
                    <w14:schemeClr w14:val="tx1"/>
                  </w14:solidFill>
                </w14:textFill>
              </w:rPr>
              <w:t>13698760037</w:t>
            </w:r>
          </w:p>
        </w:tc>
      </w:tr>
      <w:tr w14:paraId="5DB5179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12" w:hRule="exact"/>
          <w:jc w:val="center"/>
        </w:trPr>
        <w:tc>
          <w:tcPr>
            <w:tcW w:w="1353" w:type="dxa"/>
            <w:tcBorders>
              <w:tl2br w:val="nil"/>
              <w:tr2bl w:val="nil"/>
            </w:tcBorders>
            <w:noWrap w:val="0"/>
            <w:vAlign w:val="center"/>
          </w:tcPr>
          <w:p w14:paraId="4EE1531D">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序号</w:t>
            </w:r>
          </w:p>
        </w:tc>
        <w:tc>
          <w:tcPr>
            <w:tcW w:w="1936" w:type="dxa"/>
            <w:gridSpan w:val="2"/>
            <w:tcBorders>
              <w:tl2br w:val="nil"/>
              <w:tr2bl w:val="nil"/>
            </w:tcBorders>
            <w:noWrap w:val="0"/>
            <w:vAlign w:val="center"/>
          </w:tcPr>
          <w:p w14:paraId="6EAC15CC">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名称</w:t>
            </w:r>
          </w:p>
        </w:tc>
        <w:tc>
          <w:tcPr>
            <w:tcW w:w="1003" w:type="dxa"/>
            <w:tcBorders>
              <w:tl2br w:val="nil"/>
              <w:tr2bl w:val="nil"/>
            </w:tcBorders>
            <w:noWrap w:val="0"/>
            <w:vAlign w:val="center"/>
          </w:tcPr>
          <w:p w14:paraId="09316A87">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储备量</w:t>
            </w:r>
          </w:p>
        </w:tc>
        <w:tc>
          <w:tcPr>
            <w:tcW w:w="723" w:type="dxa"/>
            <w:gridSpan w:val="2"/>
            <w:tcBorders>
              <w:tl2br w:val="nil"/>
              <w:tr2bl w:val="nil"/>
            </w:tcBorders>
            <w:noWrap w:val="0"/>
            <w:vAlign w:val="center"/>
          </w:tcPr>
          <w:p w14:paraId="5FF90194">
            <w:pPr>
              <w:adjustRightInd w:val="0"/>
              <w:snapToGrid w:val="0"/>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单位</w:t>
            </w:r>
          </w:p>
        </w:tc>
        <w:tc>
          <w:tcPr>
            <w:tcW w:w="2116" w:type="dxa"/>
            <w:gridSpan w:val="2"/>
            <w:tcBorders>
              <w:tl2br w:val="nil"/>
              <w:tr2bl w:val="nil"/>
            </w:tcBorders>
            <w:noWrap w:val="0"/>
            <w:vAlign w:val="center"/>
          </w:tcPr>
          <w:p w14:paraId="04D34E73">
            <w:pPr>
              <w:keepNext w:val="0"/>
              <w:keepLines w:val="0"/>
              <w:pageBreakBefore w:val="0"/>
              <w:widowControl/>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kern w:val="0"/>
                <w:sz w:val="21"/>
                <w:szCs w:val="21"/>
                <w14:textFill>
                  <w14:solidFill>
                    <w14:schemeClr w14:val="tx1"/>
                  </w14:solidFill>
                </w14:textFill>
              </w:rPr>
              <w:t>位置</w:t>
            </w:r>
          </w:p>
        </w:tc>
        <w:tc>
          <w:tcPr>
            <w:tcW w:w="1940" w:type="dxa"/>
            <w:tcBorders>
              <w:tl2br w:val="nil"/>
              <w:tr2bl w:val="nil"/>
            </w:tcBorders>
            <w:noWrap w:val="0"/>
            <w:vAlign w:val="center"/>
          </w:tcPr>
          <w:p w14:paraId="5930BF8A">
            <w:pPr>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宋体"/>
                <w:color w:val="000000" w:themeColor="text1"/>
                <w:sz w:val="21"/>
                <w:szCs w:val="21"/>
                <w14:textFill>
                  <w14:solidFill>
                    <w14:schemeClr w14:val="tx1"/>
                  </w14:solidFill>
                </w14:textFill>
              </w:rPr>
              <w:t>主要用途</w:t>
            </w:r>
          </w:p>
        </w:tc>
      </w:tr>
      <w:tr w14:paraId="47229A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52" w:hRule="exact"/>
          <w:jc w:val="center"/>
        </w:trPr>
        <w:tc>
          <w:tcPr>
            <w:tcW w:w="1353" w:type="dxa"/>
            <w:tcBorders>
              <w:tl2br w:val="nil"/>
              <w:tr2bl w:val="nil"/>
            </w:tcBorders>
            <w:noWrap w:val="0"/>
            <w:vAlign w:val="center"/>
          </w:tcPr>
          <w:p w14:paraId="3EF08827">
            <w:pPr>
              <w:autoSpaceDE w:val="0"/>
              <w:autoSpaceDN w:val="0"/>
              <w:adjustRightInd w:val="0"/>
              <w:ind w:firstLine="0" w:firstLineChars="0"/>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仿宋"/>
                <w:color w:val="000000" w:themeColor="text1"/>
                <w:sz w:val="21"/>
                <w:szCs w:val="21"/>
                <w:lang w:val="zh-CN"/>
                <w14:textFill>
                  <w14:solidFill>
                    <w14:schemeClr w14:val="tx1"/>
                  </w14:solidFill>
                </w14:textFill>
              </w:rPr>
              <w:t>1</w:t>
            </w:r>
          </w:p>
        </w:tc>
        <w:tc>
          <w:tcPr>
            <w:tcW w:w="1936" w:type="dxa"/>
            <w:gridSpan w:val="2"/>
            <w:tcBorders>
              <w:tl2br w:val="nil"/>
              <w:tr2bl w:val="nil"/>
            </w:tcBorders>
            <w:noWrap w:val="0"/>
            <w:vAlign w:val="center"/>
          </w:tcPr>
          <w:p w14:paraId="352A9EE9">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消防水</w:t>
            </w:r>
            <w:r>
              <w:rPr>
                <w:rFonts w:hint="eastAsia" w:ascii="宋体" w:hAnsi="宋体" w:cs="宋体"/>
                <w:color w:val="000000" w:themeColor="text1"/>
                <w:szCs w:val="21"/>
                <w:lang w:val="zh-CN" w:eastAsia="zh-CN"/>
                <w14:textFill>
                  <w14:solidFill>
                    <w14:schemeClr w14:val="tx1"/>
                  </w14:solidFill>
                </w14:textFill>
              </w:rPr>
              <w:t>池</w:t>
            </w:r>
          </w:p>
        </w:tc>
        <w:tc>
          <w:tcPr>
            <w:tcW w:w="1003" w:type="dxa"/>
            <w:tcBorders>
              <w:tl2br w:val="nil"/>
              <w:tr2bl w:val="nil"/>
            </w:tcBorders>
            <w:noWrap w:val="0"/>
            <w:vAlign w:val="center"/>
          </w:tcPr>
          <w:p w14:paraId="75817B41">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2</w:t>
            </w:r>
          </w:p>
        </w:tc>
        <w:tc>
          <w:tcPr>
            <w:tcW w:w="723" w:type="dxa"/>
            <w:gridSpan w:val="2"/>
            <w:tcBorders>
              <w:tl2br w:val="nil"/>
              <w:tr2bl w:val="nil"/>
            </w:tcBorders>
            <w:noWrap w:val="0"/>
            <w:vAlign w:val="center"/>
          </w:tcPr>
          <w:p w14:paraId="67855F6A">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个</w:t>
            </w:r>
          </w:p>
        </w:tc>
        <w:tc>
          <w:tcPr>
            <w:tcW w:w="2116" w:type="dxa"/>
            <w:gridSpan w:val="2"/>
            <w:tcBorders>
              <w:tl2br w:val="nil"/>
              <w:tr2bl w:val="nil"/>
            </w:tcBorders>
            <w:noWrap w:val="0"/>
            <w:vAlign w:val="center"/>
          </w:tcPr>
          <w:p w14:paraId="0C2FA92E">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消防水池</w:t>
            </w:r>
          </w:p>
        </w:tc>
        <w:tc>
          <w:tcPr>
            <w:tcW w:w="1940" w:type="dxa"/>
            <w:tcBorders>
              <w:tl2br w:val="nil"/>
              <w:tr2bl w:val="nil"/>
            </w:tcBorders>
            <w:noWrap w:val="0"/>
            <w:vAlign w:val="center"/>
          </w:tcPr>
          <w:p w14:paraId="7ED9D2B2">
            <w:pPr>
              <w:spacing w:line="240" w:lineRule="auto"/>
              <w:jc w:val="center"/>
              <w:rPr>
                <w:rFonts w:hint="eastAsia" w:ascii="宋体" w:hAnsi="宋体" w:eastAsia="宋体" w:cs="宋体"/>
                <w:color w:val="000000" w:themeColor="text1"/>
                <w:sz w:val="21"/>
                <w:szCs w:val="21"/>
                <w:lang w:val="en-US"/>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污水处理</w:t>
            </w:r>
          </w:p>
        </w:tc>
      </w:tr>
      <w:tr w14:paraId="681AA6C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2" w:hRule="exact"/>
          <w:jc w:val="center"/>
        </w:trPr>
        <w:tc>
          <w:tcPr>
            <w:tcW w:w="1353" w:type="dxa"/>
            <w:tcBorders>
              <w:tl2br w:val="nil"/>
              <w:tr2bl w:val="nil"/>
            </w:tcBorders>
            <w:noWrap w:val="0"/>
            <w:vAlign w:val="center"/>
          </w:tcPr>
          <w:p w14:paraId="3B5D3D68">
            <w:pPr>
              <w:autoSpaceDE w:val="0"/>
              <w:autoSpaceDN w:val="0"/>
              <w:adjustRightInd w:val="0"/>
              <w:ind w:firstLine="0" w:firstLineChars="0"/>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eastAsia="宋体" w:cs="仿宋"/>
                <w:color w:val="000000" w:themeColor="text1"/>
                <w:sz w:val="21"/>
                <w:szCs w:val="21"/>
                <w:lang w:val="zh-CN"/>
                <w14:textFill>
                  <w14:solidFill>
                    <w14:schemeClr w14:val="tx1"/>
                  </w14:solidFill>
                </w14:textFill>
              </w:rPr>
              <w:t>2</w:t>
            </w:r>
          </w:p>
        </w:tc>
        <w:tc>
          <w:tcPr>
            <w:tcW w:w="1936" w:type="dxa"/>
            <w:gridSpan w:val="2"/>
            <w:tcBorders>
              <w:tl2br w:val="nil"/>
              <w:tr2bl w:val="nil"/>
            </w:tcBorders>
            <w:noWrap w:val="0"/>
            <w:vAlign w:val="center"/>
          </w:tcPr>
          <w:p w14:paraId="6EC033F4">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应急车辆</w:t>
            </w:r>
          </w:p>
        </w:tc>
        <w:tc>
          <w:tcPr>
            <w:tcW w:w="1003" w:type="dxa"/>
            <w:tcBorders>
              <w:tl2br w:val="nil"/>
              <w:tr2bl w:val="nil"/>
            </w:tcBorders>
            <w:noWrap w:val="0"/>
            <w:vAlign w:val="center"/>
          </w:tcPr>
          <w:p w14:paraId="5CFC4D41">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2</w:t>
            </w:r>
          </w:p>
        </w:tc>
        <w:tc>
          <w:tcPr>
            <w:tcW w:w="723" w:type="dxa"/>
            <w:gridSpan w:val="2"/>
            <w:tcBorders>
              <w:tl2br w:val="nil"/>
              <w:tr2bl w:val="nil"/>
            </w:tcBorders>
            <w:noWrap w:val="0"/>
            <w:vAlign w:val="center"/>
          </w:tcPr>
          <w:p w14:paraId="37431F0F">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辆</w:t>
            </w:r>
          </w:p>
        </w:tc>
        <w:tc>
          <w:tcPr>
            <w:tcW w:w="2116" w:type="dxa"/>
            <w:gridSpan w:val="2"/>
            <w:tcBorders>
              <w:tl2br w:val="nil"/>
              <w:tr2bl w:val="nil"/>
            </w:tcBorders>
            <w:noWrap w:val="0"/>
            <w:vAlign w:val="center"/>
          </w:tcPr>
          <w:p w14:paraId="079F5376">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办公室</w:t>
            </w:r>
          </w:p>
        </w:tc>
        <w:tc>
          <w:tcPr>
            <w:tcW w:w="1940" w:type="dxa"/>
            <w:tcBorders>
              <w:tl2br w:val="nil"/>
              <w:tr2bl w:val="nil"/>
            </w:tcBorders>
            <w:noWrap w:val="0"/>
            <w:vAlign w:val="center"/>
          </w:tcPr>
          <w:p w14:paraId="35EAAEDA">
            <w:pPr>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救护</w:t>
            </w:r>
          </w:p>
        </w:tc>
      </w:tr>
      <w:tr w14:paraId="5B00D83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2" w:hRule="exact"/>
          <w:jc w:val="center"/>
        </w:trPr>
        <w:tc>
          <w:tcPr>
            <w:tcW w:w="1353" w:type="dxa"/>
            <w:tcBorders>
              <w:tl2br w:val="nil"/>
              <w:tr2bl w:val="nil"/>
            </w:tcBorders>
            <w:noWrap w:val="0"/>
            <w:vAlign w:val="center"/>
          </w:tcPr>
          <w:p w14:paraId="6A2EAFD3">
            <w:pPr>
              <w:autoSpaceDE w:val="0"/>
              <w:autoSpaceDN w:val="0"/>
              <w:adjustRightInd w:val="0"/>
              <w:ind w:firstLine="0" w:firstLineChars="0"/>
              <w:jc w:val="center"/>
              <w:rPr>
                <w:rFonts w:hint="eastAsia" w:ascii="宋体" w:hAnsi="宋体" w:eastAsia="宋体" w:cs="仿宋"/>
                <w:color w:val="000000" w:themeColor="text1"/>
                <w:sz w:val="21"/>
                <w:szCs w:val="21"/>
                <w:lang w:val="en-US" w:eastAsia="zh-CN"/>
                <w14:textFill>
                  <w14:solidFill>
                    <w14:schemeClr w14:val="tx1"/>
                  </w14:solidFill>
                </w14:textFill>
              </w:rPr>
            </w:pPr>
            <w:r>
              <w:rPr>
                <w:rFonts w:hint="eastAsia" w:ascii="宋体" w:hAnsi="宋体" w:eastAsia="宋体" w:cs="仿宋"/>
                <w:color w:val="000000" w:themeColor="text1"/>
                <w:sz w:val="21"/>
                <w:szCs w:val="21"/>
                <w:lang w:val="en-US" w:eastAsia="zh-CN"/>
                <w14:textFill>
                  <w14:solidFill>
                    <w14:schemeClr w14:val="tx1"/>
                  </w14:solidFill>
                </w14:textFill>
              </w:rPr>
              <w:t>3</w:t>
            </w:r>
          </w:p>
        </w:tc>
        <w:tc>
          <w:tcPr>
            <w:tcW w:w="1936" w:type="dxa"/>
            <w:gridSpan w:val="2"/>
            <w:tcBorders>
              <w:tl2br w:val="nil"/>
              <w:tr2bl w:val="nil"/>
            </w:tcBorders>
            <w:noWrap w:val="0"/>
            <w:vAlign w:val="center"/>
          </w:tcPr>
          <w:p w14:paraId="7B7DE826">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灭火器</w:t>
            </w:r>
          </w:p>
        </w:tc>
        <w:tc>
          <w:tcPr>
            <w:tcW w:w="1003" w:type="dxa"/>
            <w:tcBorders>
              <w:tl2br w:val="nil"/>
              <w:tr2bl w:val="nil"/>
            </w:tcBorders>
            <w:noWrap w:val="0"/>
            <w:vAlign w:val="center"/>
          </w:tcPr>
          <w:p w14:paraId="641A42DF">
            <w:pPr>
              <w:autoSpaceDE w:val="0"/>
              <w:autoSpaceDN w:val="0"/>
              <w:adjustRightInd w:val="0"/>
              <w:spacing w:line="360" w:lineRule="auto"/>
              <w:jc w:val="center"/>
              <w:rPr>
                <w:rFonts w:hint="default"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30</w:t>
            </w:r>
          </w:p>
        </w:tc>
        <w:tc>
          <w:tcPr>
            <w:tcW w:w="723" w:type="dxa"/>
            <w:gridSpan w:val="2"/>
            <w:tcBorders>
              <w:tl2br w:val="nil"/>
              <w:tr2bl w:val="nil"/>
            </w:tcBorders>
            <w:noWrap w:val="0"/>
            <w:vAlign w:val="center"/>
          </w:tcPr>
          <w:p w14:paraId="5E6BABEE">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只</w:t>
            </w:r>
          </w:p>
        </w:tc>
        <w:tc>
          <w:tcPr>
            <w:tcW w:w="2116" w:type="dxa"/>
            <w:gridSpan w:val="2"/>
            <w:tcBorders>
              <w:tl2br w:val="nil"/>
              <w:tr2bl w:val="nil"/>
            </w:tcBorders>
            <w:noWrap w:val="0"/>
            <w:vAlign w:val="center"/>
          </w:tcPr>
          <w:p w14:paraId="35438A11">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厂区个点位</w:t>
            </w:r>
          </w:p>
        </w:tc>
        <w:tc>
          <w:tcPr>
            <w:tcW w:w="1940" w:type="dxa"/>
            <w:tcBorders>
              <w:tl2br w:val="nil"/>
              <w:tr2bl w:val="nil"/>
            </w:tcBorders>
            <w:noWrap w:val="0"/>
            <w:vAlign w:val="center"/>
          </w:tcPr>
          <w:p w14:paraId="6BF64F6A">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防护</w:t>
            </w:r>
          </w:p>
        </w:tc>
      </w:tr>
      <w:tr w14:paraId="6AAECD9D">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2" w:hRule="exact"/>
          <w:jc w:val="center"/>
        </w:trPr>
        <w:tc>
          <w:tcPr>
            <w:tcW w:w="1353" w:type="dxa"/>
            <w:tcBorders>
              <w:tl2br w:val="nil"/>
              <w:tr2bl w:val="nil"/>
            </w:tcBorders>
            <w:noWrap w:val="0"/>
            <w:vAlign w:val="center"/>
          </w:tcPr>
          <w:p w14:paraId="39E53CBD">
            <w:pPr>
              <w:autoSpaceDE w:val="0"/>
              <w:autoSpaceDN w:val="0"/>
              <w:adjustRightInd w:val="0"/>
              <w:ind w:firstLine="0" w:firstLineChars="0"/>
              <w:jc w:val="center"/>
              <w:rPr>
                <w:rFonts w:hint="eastAsia" w:ascii="宋体" w:hAnsi="宋体" w:eastAsia="宋体" w:cs="仿宋"/>
                <w:color w:val="000000" w:themeColor="text1"/>
                <w:sz w:val="21"/>
                <w:szCs w:val="21"/>
                <w:lang w:val="en-US" w:eastAsia="zh-CN"/>
                <w14:textFill>
                  <w14:solidFill>
                    <w14:schemeClr w14:val="tx1"/>
                  </w14:solidFill>
                </w14:textFill>
              </w:rPr>
            </w:pPr>
            <w:r>
              <w:rPr>
                <w:rFonts w:hint="eastAsia" w:ascii="宋体" w:hAnsi="宋体" w:eastAsia="宋体" w:cs="仿宋"/>
                <w:color w:val="000000" w:themeColor="text1"/>
                <w:sz w:val="21"/>
                <w:szCs w:val="21"/>
                <w:lang w:val="en-US" w:eastAsia="zh-CN"/>
                <w14:textFill>
                  <w14:solidFill>
                    <w14:schemeClr w14:val="tx1"/>
                  </w14:solidFill>
                </w14:textFill>
              </w:rPr>
              <w:t>4</w:t>
            </w:r>
          </w:p>
        </w:tc>
        <w:tc>
          <w:tcPr>
            <w:tcW w:w="1936" w:type="dxa"/>
            <w:gridSpan w:val="2"/>
            <w:tcBorders>
              <w:tl2br w:val="nil"/>
              <w:tr2bl w:val="nil"/>
            </w:tcBorders>
            <w:noWrap w:val="0"/>
            <w:vAlign w:val="center"/>
          </w:tcPr>
          <w:p w14:paraId="276F2432">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安全帽</w:t>
            </w:r>
          </w:p>
        </w:tc>
        <w:tc>
          <w:tcPr>
            <w:tcW w:w="1003" w:type="dxa"/>
            <w:tcBorders>
              <w:tl2br w:val="nil"/>
              <w:tr2bl w:val="nil"/>
            </w:tcBorders>
            <w:noWrap w:val="0"/>
            <w:vAlign w:val="center"/>
          </w:tcPr>
          <w:p w14:paraId="773FF544">
            <w:pPr>
              <w:autoSpaceDE w:val="0"/>
              <w:autoSpaceDN w:val="0"/>
              <w:adjustRightInd w:val="0"/>
              <w:spacing w:line="360" w:lineRule="auto"/>
              <w:jc w:val="center"/>
              <w:rPr>
                <w:rFonts w:hint="default"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15</w:t>
            </w:r>
          </w:p>
        </w:tc>
        <w:tc>
          <w:tcPr>
            <w:tcW w:w="723" w:type="dxa"/>
            <w:gridSpan w:val="2"/>
            <w:tcBorders>
              <w:tl2br w:val="nil"/>
              <w:tr2bl w:val="nil"/>
            </w:tcBorders>
            <w:noWrap w:val="0"/>
            <w:vAlign w:val="center"/>
          </w:tcPr>
          <w:p w14:paraId="1C9D9FBA">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 w:val="21"/>
                <w:szCs w:val="21"/>
                <w:lang w:eastAsia="zh-CN"/>
                <w14:textFill>
                  <w14:solidFill>
                    <w14:schemeClr w14:val="tx1"/>
                  </w14:solidFill>
                </w14:textFill>
              </w:rPr>
              <w:t>个</w:t>
            </w:r>
          </w:p>
        </w:tc>
        <w:tc>
          <w:tcPr>
            <w:tcW w:w="2116" w:type="dxa"/>
            <w:gridSpan w:val="2"/>
            <w:tcBorders>
              <w:tl2br w:val="nil"/>
              <w:tr2bl w:val="nil"/>
            </w:tcBorders>
            <w:noWrap w:val="0"/>
            <w:vAlign w:val="center"/>
          </w:tcPr>
          <w:p w14:paraId="5AC27875">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仓库</w:t>
            </w:r>
          </w:p>
        </w:tc>
        <w:tc>
          <w:tcPr>
            <w:tcW w:w="1940" w:type="dxa"/>
            <w:tcBorders>
              <w:tl2br w:val="nil"/>
              <w:tr2bl w:val="nil"/>
            </w:tcBorders>
            <w:noWrap w:val="0"/>
            <w:vAlign w:val="center"/>
          </w:tcPr>
          <w:p w14:paraId="52A562B1">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防护</w:t>
            </w:r>
          </w:p>
        </w:tc>
      </w:tr>
      <w:tr w14:paraId="43B6F1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2" w:hRule="exact"/>
          <w:jc w:val="center"/>
        </w:trPr>
        <w:tc>
          <w:tcPr>
            <w:tcW w:w="1353" w:type="dxa"/>
            <w:tcBorders>
              <w:tl2br w:val="nil"/>
              <w:tr2bl w:val="nil"/>
            </w:tcBorders>
            <w:noWrap w:val="0"/>
            <w:vAlign w:val="center"/>
          </w:tcPr>
          <w:p w14:paraId="0352A12B">
            <w:pPr>
              <w:autoSpaceDE w:val="0"/>
              <w:autoSpaceDN w:val="0"/>
              <w:adjustRightInd w:val="0"/>
              <w:ind w:firstLine="0" w:firstLineChars="0"/>
              <w:jc w:val="center"/>
              <w:rPr>
                <w:rFonts w:hint="eastAsia" w:ascii="宋体" w:hAnsi="宋体" w:eastAsia="宋体" w:cs="仿宋"/>
                <w:color w:val="000000" w:themeColor="text1"/>
                <w:sz w:val="21"/>
                <w:szCs w:val="21"/>
                <w:lang w:val="en-US" w:eastAsia="zh-CN"/>
                <w14:textFill>
                  <w14:solidFill>
                    <w14:schemeClr w14:val="tx1"/>
                  </w14:solidFill>
                </w14:textFill>
              </w:rPr>
            </w:pPr>
            <w:r>
              <w:rPr>
                <w:rFonts w:hint="eastAsia" w:ascii="宋体" w:hAnsi="宋体" w:eastAsia="宋体" w:cs="仿宋"/>
                <w:color w:val="000000" w:themeColor="text1"/>
                <w:sz w:val="21"/>
                <w:szCs w:val="21"/>
                <w:lang w:val="en-US" w:eastAsia="zh-CN"/>
                <w14:textFill>
                  <w14:solidFill>
                    <w14:schemeClr w14:val="tx1"/>
                  </w14:solidFill>
                </w14:textFill>
              </w:rPr>
              <w:t>5</w:t>
            </w:r>
          </w:p>
        </w:tc>
        <w:tc>
          <w:tcPr>
            <w:tcW w:w="1936" w:type="dxa"/>
            <w:gridSpan w:val="2"/>
            <w:tcBorders>
              <w:tl2br w:val="nil"/>
              <w:tr2bl w:val="nil"/>
            </w:tcBorders>
            <w:noWrap w:val="0"/>
            <w:vAlign w:val="center"/>
          </w:tcPr>
          <w:p w14:paraId="3F9FE6B8">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安全带</w:t>
            </w:r>
          </w:p>
        </w:tc>
        <w:tc>
          <w:tcPr>
            <w:tcW w:w="1003" w:type="dxa"/>
            <w:tcBorders>
              <w:tl2br w:val="nil"/>
              <w:tr2bl w:val="nil"/>
            </w:tcBorders>
            <w:noWrap w:val="0"/>
            <w:vAlign w:val="center"/>
          </w:tcPr>
          <w:p w14:paraId="51C46EBD">
            <w:pPr>
              <w:autoSpaceDE w:val="0"/>
              <w:autoSpaceDN w:val="0"/>
              <w:adjustRightInd w:val="0"/>
              <w:spacing w:line="360" w:lineRule="auto"/>
              <w:jc w:val="center"/>
              <w:rPr>
                <w:rFonts w:hint="default"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5</w:t>
            </w:r>
          </w:p>
        </w:tc>
        <w:tc>
          <w:tcPr>
            <w:tcW w:w="723" w:type="dxa"/>
            <w:gridSpan w:val="2"/>
            <w:tcBorders>
              <w:tl2br w:val="nil"/>
              <w:tr2bl w:val="nil"/>
            </w:tcBorders>
            <w:noWrap w:val="0"/>
            <w:vAlign w:val="center"/>
          </w:tcPr>
          <w:p w14:paraId="5B8E88CF">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副</w:t>
            </w:r>
          </w:p>
        </w:tc>
        <w:tc>
          <w:tcPr>
            <w:tcW w:w="2116" w:type="dxa"/>
            <w:gridSpan w:val="2"/>
            <w:tcBorders>
              <w:tl2br w:val="nil"/>
              <w:tr2bl w:val="nil"/>
            </w:tcBorders>
            <w:noWrap w:val="0"/>
            <w:vAlign w:val="center"/>
          </w:tcPr>
          <w:p w14:paraId="56067BE9">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仓库</w:t>
            </w:r>
          </w:p>
        </w:tc>
        <w:tc>
          <w:tcPr>
            <w:tcW w:w="1940" w:type="dxa"/>
            <w:tcBorders>
              <w:tl2br w:val="nil"/>
              <w:tr2bl w:val="nil"/>
            </w:tcBorders>
            <w:noWrap w:val="0"/>
            <w:vAlign w:val="center"/>
          </w:tcPr>
          <w:p w14:paraId="07D268C9">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防护</w:t>
            </w:r>
          </w:p>
        </w:tc>
      </w:tr>
      <w:tr w14:paraId="648F6A7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92" w:hRule="exact"/>
          <w:jc w:val="center"/>
        </w:trPr>
        <w:tc>
          <w:tcPr>
            <w:tcW w:w="1353" w:type="dxa"/>
            <w:tcBorders>
              <w:tl2br w:val="nil"/>
              <w:tr2bl w:val="nil"/>
            </w:tcBorders>
            <w:noWrap w:val="0"/>
            <w:vAlign w:val="center"/>
          </w:tcPr>
          <w:p w14:paraId="4A2F42C9">
            <w:pPr>
              <w:autoSpaceDE w:val="0"/>
              <w:autoSpaceDN w:val="0"/>
              <w:adjustRightInd w:val="0"/>
              <w:ind w:firstLine="0" w:firstLineChars="0"/>
              <w:jc w:val="center"/>
              <w:rPr>
                <w:rFonts w:hint="eastAsia" w:ascii="宋体" w:hAnsi="宋体" w:eastAsia="宋体" w:cs="仿宋"/>
                <w:color w:val="000000" w:themeColor="text1"/>
                <w:sz w:val="21"/>
                <w:szCs w:val="21"/>
                <w:lang w:val="en-US" w:eastAsia="zh-CN"/>
                <w14:textFill>
                  <w14:solidFill>
                    <w14:schemeClr w14:val="tx1"/>
                  </w14:solidFill>
                </w14:textFill>
              </w:rPr>
            </w:pPr>
            <w:r>
              <w:rPr>
                <w:rFonts w:hint="eastAsia" w:ascii="宋体" w:hAnsi="宋体" w:eastAsia="宋体" w:cs="仿宋"/>
                <w:color w:val="000000" w:themeColor="text1"/>
                <w:sz w:val="21"/>
                <w:szCs w:val="21"/>
                <w:lang w:val="en-US" w:eastAsia="zh-CN"/>
                <w14:textFill>
                  <w14:solidFill>
                    <w14:schemeClr w14:val="tx1"/>
                  </w14:solidFill>
                </w14:textFill>
              </w:rPr>
              <w:t>6</w:t>
            </w:r>
          </w:p>
        </w:tc>
        <w:tc>
          <w:tcPr>
            <w:tcW w:w="1936" w:type="dxa"/>
            <w:gridSpan w:val="2"/>
            <w:tcBorders>
              <w:tl2br w:val="nil"/>
              <w:tr2bl w:val="nil"/>
            </w:tcBorders>
            <w:noWrap w:val="0"/>
            <w:vAlign w:val="center"/>
          </w:tcPr>
          <w:p w14:paraId="481C0FEE">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锄头</w:t>
            </w:r>
          </w:p>
        </w:tc>
        <w:tc>
          <w:tcPr>
            <w:tcW w:w="1003" w:type="dxa"/>
            <w:tcBorders>
              <w:tl2br w:val="nil"/>
              <w:tr2bl w:val="nil"/>
            </w:tcBorders>
            <w:noWrap w:val="0"/>
            <w:vAlign w:val="center"/>
          </w:tcPr>
          <w:p w14:paraId="53985E87">
            <w:pPr>
              <w:autoSpaceDE w:val="0"/>
              <w:autoSpaceDN w:val="0"/>
              <w:adjustRightInd w:val="0"/>
              <w:spacing w:line="360" w:lineRule="auto"/>
              <w:jc w:val="center"/>
              <w:rPr>
                <w:rFonts w:hint="default"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5</w:t>
            </w:r>
          </w:p>
        </w:tc>
        <w:tc>
          <w:tcPr>
            <w:tcW w:w="723" w:type="dxa"/>
            <w:gridSpan w:val="2"/>
            <w:tcBorders>
              <w:tl2br w:val="nil"/>
              <w:tr2bl w:val="nil"/>
            </w:tcBorders>
            <w:noWrap w:val="0"/>
            <w:vAlign w:val="center"/>
          </w:tcPr>
          <w:p w14:paraId="3A6B2E70">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把</w:t>
            </w:r>
          </w:p>
        </w:tc>
        <w:tc>
          <w:tcPr>
            <w:tcW w:w="2116" w:type="dxa"/>
            <w:gridSpan w:val="2"/>
            <w:tcBorders>
              <w:tl2br w:val="nil"/>
              <w:tr2bl w:val="nil"/>
            </w:tcBorders>
            <w:noWrap w:val="0"/>
            <w:vAlign w:val="center"/>
          </w:tcPr>
          <w:p w14:paraId="7AB908A9">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仓库</w:t>
            </w:r>
          </w:p>
        </w:tc>
        <w:tc>
          <w:tcPr>
            <w:tcW w:w="1940" w:type="dxa"/>
            <w:tcBorders>
              <w:tl2br w:val="nil"/>
              <w:tr2bl w:val="nil"/>
            </w:tcBorders>
            <w:noWrap w:val="0"/>
            <w:vAlign w:val="center"/>
          </w:tcPr>
          <w:p w14:paraId="34A3734B">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清掏</w:t>
            </w:r>
          </w:p>
        </w:tc>
      </w:tr>
      <w:tr w14:paraId="39F3EF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92" w:hRule="exact"/>
          <w:jc w:val="center"/>
        </w:trPr>
        <w:tc>
          <w:tcPr>
            <w:tcW w:w="1353" w:type="dxa"/>
            <w:tcBorders>
              <w:tl2br w:val="nil"/>
              <w:tr2bl w:val="nil"/>
            </w:tcBorders>
            <w:noWrap w:val="0"/>
            <w:vAlign w:val="center"/>
          </w:tcPr>
          <w:p w14:paraId="281498A6">
            <w:pPr>
              <w:autoSpaceDE w:val="0"/>
              <w:autoSpaceDN w:val="0"/>
              <w:adjustRightInd w:val="0"/>
              <w:ind w:firstLine="0" w:firstLineChars="0"/>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7</w:t>
            </w:r>
          </w:p>
        </w:tc>
        <w:tc>
          <w:tcPr>
            <w:tcW w:w="1936" w:type="dxa"/>
            <w:gridSpan w:val="2"/>
            <w:tcBorders>
              <w:tl2br w:val="nil"/>
              <w:tr2bl w:val="nil"/>
            </w:tcBorders>
            <w:noWrap w:val="0"/>
            <w:vAlign w:val="center"/>
          </w:tcPr>
          <w:p w14:paraId="68A858D1">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铁锹</w:t>
            </w:r>
          </w:p>
        </w:tc>
        <w:tc>
          <w:tcPr>
            <w:tcW w:w="1003" w:type="dxa"/>
            <w:tcBorders>
              <w:tl2br w:val="nil"/>
              <w:tr2bl w:val="nil"/>
            </w:tcBorders>
            <w:noWrap w:val="0"/>
            <w:vAlign w:val="center"/>
          </w:tcPr>
          <w:p w14:paraId="1974EB7C">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10</w:t>
            </w:r>
          </w:p>
        </w:tc>
        <w:tc>
          <w:tcPr>
            <w:tcW w:w="723" w:type="dxa"/>
            <w:gridSpan w:val="2"/>
            <w:tcBorders>
              <w:tl2br w:val="nil"/>
              <w:tr2bl w:val="nil"/>
            </w:tcBorders>
            <w:noWrap w:val="0"/>
            <w:vAlign w:val="center"/>
          </w:tcPr>
          <w:p w14:paraId="4DC1E6B5">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把</w:t>
            </w:r>
          </w:p>
        </w:tc>
        <w:tc>
          <w:tcPr>
            <w:tcW w:w="2116" w:type="dxa"/>
            <w:gridSpan w:val="2"/>
            <w:tcBorders>
              <w:tl2br w:val="nil"/>
              <w:tr2bl w:val="nil"/>
            </w:tcBorders>
            <w:noWrap w:val="0"/>
            <w:vAlign w:val="center"/>
          </w:tcPr>
          <w:p w14:paraId="07401152">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生产车间</w:t>
            </w:r>
          </w:p>
        </w:tc>
        <w:tc>
          <w:tcPr>
            <w:tcW w:w="1940" w:type="dxa"/>
            <w:tcBorders>
              <w:tl2br w:val="nil"/>
              <w:tr2bl w:val="nil"/>
            </w:tcBorders>
            <w:noWrap w:val="0"/>
            <w:vAlign w:val="center"/>
          </w:tcPr>
          <w:p w14:paraId="1259F99B">
            <w:pPr>
              <w:spacing w:line="240" w:lineRule="auto"/>
              <w:jc w:val="center"/>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清掏</w:t>
            </w:r>
          </w:p>
        </w:tc>
      </w:tr>
      <w:tr w14:paraId="0D053D0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427" w:hRule="exact"/>
          <w:jc w:val="center"/>
        </w:trPr>
        <w:tc>
          <w:tcPr>
            <w:tcW w:w="1353" w:type="dxa"/>
            <w:tcBorders>
              <w:tl2br w:val="nil"/>
              <w:tr2bl w:val="nil"/>
            </w:tcBorders>
            <w:noWrap w:val="0"/>
            <w:vAlign w:val="center"/>
          </w:tcPr>
          <w:p w14:paraId="223E7418">
            <w:pPr>
              <w:autoSpaceDE w:val="0"/>
              <w:autoSpaceDN w:val="0"/>
              <w:adjustRightInd w:val="0"/>
              <w:ind w:firstLine="0" w:firstLineChars="0"/>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8</w:t>
            </w:r>
          </w:p>
        </w:tc>
        <w:tc>
          <w:tcPr>
            <w:tcW w:w="1936" w:type="dxa"/>
            <w:gridSpan w:val="2"/>
            <w:tcBorders>
              <w:tl2br w:val="nil"/>
              <w:tr2bl w:val="nil"/>
            </w:tcBorders>
            <w:noWrap w:val="0"/>
            <w:vAlign w:val="center"/>
          </w:tcPr>
          <w:p w14:paraId="17BD2249">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消防斧</w:t>
            </w:r>
          </w:p>
        </w:tc>
        <w:tc>
          <w:tcPr>
            <w:tcW w:w="1003" w:type="dxa"/>
            <w:tcBorders>
              <w:tl2br w:val="nil"/>
              <w:tr2bl w:val="nil"/>
            </w:tcBorders>
            <w:noWrap w:val="0"/>
            <w:vAlign w:val="center"/>
          </w:tcPr>
          <w:p w14:paraId="57C9BC82">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2</w:t>
            </w:r>
          </w:p>
        </w:tc>
        <w:tc>
          <w:tcPr>
            <w:tcW w:w="723" w:type="dxa"/>
            <w:gridSpan w:val="2"/>
            <w:tcBorders>
              <w:tl2br w:val="nil"/>
              <w:tr2bl w:val="nil"/>
            </w:tcBorders>
            <w:noWrap w:val="0"/>
            <w:vAlign w:val="center"/>
          </w:tcPr>
          <w:p w14:paraId="44F305C5">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把</w:t>
            </w:r>
          </w:p>
        </w:tc>
        <w:tc>
          <w:tcPr>
            <w:tcW w:w="2116" w:type="dxa"/>
            <w:gridSpan w:val="2"/>
            <w:tcBorders>
              <w:tl2br w:val="nil"/>
              <w:tr2bl w:val="nil"/>
            </w:tcBorders>
            <w:noWrap w:val="0"/>
            <w:vAlign w:val="center"/>
          </w:tcPr>
          <w:p w14:paraId="2EC9B76D">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车间</w:t>
            </w:r>
          </w:p>
        </w:tc>
        <w:tc>
          <w:tcPr>
            <w:tcW w:w="1940" w:type="dxa"/>
            <w:tcBorders>
              <w:tl2br w:val="nil"/>
              <w:tr2bl w:val="nil"/>
            </w:tcBorders>
            <w:noWrap w:val="0"/>
            <w:vAlign w:val="center"/>
          </w:tcPr>
          <w:p w14:paraId="09E7BD2F">
            <w:pPr>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防护</w:t>
            </w:r>
          </w:p>
        </w:tc>
      </w:tr>
      <w:tr w14:paraId="1329CB7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2" w:hRule="exact"/>
          <w:jc w:val="center"/>
        </w:trPr>
        <w:tc>
          <w:tcPr>
            <w:tcW w:w="1353" w:type="dxa"/>
            <w:tcBorders>
              <w:tl2br w:val="nil"/>
              <w:tr2bl w:val="nil"/>
            </w:tcBorders>
            <w:noWrap w:val="0"/>
            <w:vAlign w:val="center"/>
          </w:tcPr>
          <w:p w14:paraId="7341EB80">
            <w:pPr>
              <w:autoSpaceDE w:val="0"/>
              <w:autoSpaceDN w:val="0"/>
              <w:adjustRightInd w:val="0"/>
              <w:ind w:firstLine="0" w:firstLineChars="0"/>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9</w:t>
            </w:r>
          </w:p>
        </w:tc>
        <w:tc>
          <w:tcPr>
            <w:tcW w:w="1936" w:type="dxa"/>
            <w:gridSpan w:val="2"/>
            <w:tcBorders>
              <w:tl2br w:val="nil"/>
              <w:tr2bl w:val="nil"/>
            </w:tcBorders>
            <w:noWrap w:val="0"/>
            <w:vAlign w:val="center"/>
          </w:tcPr>
          <w:p w14:paraId="4067245B">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消火栓</w:t>
            </w:r>
          </w:p>
        </w:tc>
        <w:tc>
          <w:tcPr>
            <w:tcW w:w="1003" w:type="dxa"/>
            <w:tcBorders>
              <w:tl2br w:val="nil"/>
              <w:tr2bl w:val="nil"/>
            </w:tcBorders>
            <w:noWrap w:val="0"/>
            <w:vAlign w:val="center"/>
          </w:tcPr>
          <w:p w14:paraId="3F0493E5">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4</w:t>
            </w:r>
          </w:p>
        </w:tc>
        <w:tc>
          <w:tcPr>
            <w:tcW w:w="723" w:type="dxa"/>
            <w:gridSpan w:val="2"/>
            <w:tcBorders>
              <w:tl2br w:val="nil"/>
              <w:tr2bl w:val="nil"/>
            </w:tcBorders>
            <w:noWrap w:val="0"/>
            <w:vAlign w:val="center"/>
          </w:tcPr>
          <w:p w14:paraId="0DF610FD">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个</w:t>
            </w:r>
          </w:p>
        </w:tc>
        <w:tc>
          <w:tcPr>
            <w:tcW w:w="2116" w:type="dxa"/>
            <w:gridSpan w:val="2"/>
            <w:tcBorders>
              <w:tl2br w:val="nil"/>
              <w:tr2bl w:val="nil"/>
            </w:tcBorders>
            <w:noWrap w:val="0"/>
            <w:vAlign w:val="center"/>
          </w:tcPr>
          <w:p w14:paraId="24E6F4D6">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厂区</w:t>
            </w:r>
          </w:p>
        </w:tc>
        <w:tc>
          <w:tcPr>
            <w:tcW w:w="1940" w:type="dxa"/>
            <w:tcBorders>
              <w:tl2br w:val="nil"/>
              <w:tr2bl w:val="nil"/>
            </w:tcBorders>
            <w:noWrap w:val="0"/>
            <w:vAlign w:val="center"/>
          </w:tcPr>
          <w:p w14:paraId="6882CCF5">
            <w:pPr>
              <w:spacing w:line="240" w:lineRule="auto"/>
              <w:jc w:val="center"/>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 w:val="21"/>
                <w:szCs w:val="21"/>
                <w:lang w:eastAsia="zh-CN"/>
                <w14:textFill>
                  <w14:solidFill>
                    <w14:schemeClr w14:val="tx1"/>
                  </w14:solidFill>
                </w14:textFill>
              </w:rPr>
              <w:t>防护</w:t>
            </w:r>
          </w:p>
        </w:tc>
      </w:tr>
      <w:tr w14:paraId="3FE3641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75" w:hRule="exact"/>
          <w:jc w:val="center"/>
        </w:trPr>
        <w:tc>
          <w:tcPr>
            <w:tcW w:w="1353" w:type="dxa"/>
            <w:tcBorders>
              <w:tl2br w:val="nil"/>
              <w:tr2bl w:val="nil"/>
            </w:tcBorders>
            <w:noWrap w:val="0"/>
            <w:vAlign w:val="center"/>
          </w:tcPr>
          <w:p w14:paraId="378A1108">
            <w:pPr>
              <w:autoSpaceDE w:val="0"/>
              <w:autoSpaceDN w:val="0"/>
              <w:adjustRightInd w:val="0"/>
              <w:ind w:firstLine="0" w:firstLineChars="0"/>
              <w:jc w:val="center"/>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10</w:t>
            </w:r>
          </w:p>
        </w:tc>
        <w:tc>
          <w:tcPr>
            <w:tcW w:w="1936" w:type="dxa"/>
            <w:gridSpan w:val="2"/>
            <w:tcBorders>
              <w:tl2br w:val="nil"/>
              <w:tr2bl w:val="nil"/>
            </w:tcBorders>
            <w:noWrap w:val="0"/>
            <w:vAlign w:val="center"/>
          </w:tcPr>
          <w:p w14:paraId="0F643D89">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灭火毯</w:t>
            </w:r>
          </w:p>
        </w:tc>
        <w:tc>
          <w:tcPr>
            <w:tcW w:w="1003" w:type="dxa"/>
            <w:tcBorders>
              <w:tl2br w:val="nil"/>
              <w:tr2bl w:val="nil"/>
            </w:tcBorders>
            <w:noWrap w:val="0"/>
            <w:vAlign w:val="center"/>
          </w:tcPr>
          <w:p w14:paraId="49A3144E">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2</w:t>
            </w:r>
          </w:p>
        </w:tc>
        <w:tc>
          <w:tcPr>
            <w:tcW w:w="723" w:type="dxa"/>
            <w:gridSpan w:val="2"/>
            <w:tcBorders>
              <w:tl2br w:val="nil"/>
              <w:tr2bl w:val="nil"/>
            </w:tcBorders>
            <w:noWrap w:val="0"/>
            <w:vAlign w:val="center"/>
          </w:tcPr>
          <w:p w14:paraId="3F65BA7F">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lang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张</w:t>
            </w:r>
          </w:p>
        </w:tc>
        <w:tc>
          <w:tcPr>
            <w:tcW w:w="2116" w:type="dxa"/>
            <w:gridSpan w:val="2"/>
            <w:tcBorders>
              <w:tl2br w:val="nil"/>
              <w:tr2bl w:val="nil"/>
            </w:tcBorders>
            <w:noWrap w:val="0"/>
            <w:vAlign w:val="center"/>
          </w:tcPr>
          <w:p w14:paraId="09C1DB6C">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车间</w:t>
            </w:r>
          </w:p>
        </w:tc>
        <w:tc>
          <w:tcPr>
            <w:tcW w:w="1940" w:type="dxa"/>
            <w:tcBorders>
              <w:tl2br w:val="nil"/>
              <w:tr2bl w:val="nil"/>
            </w:tcBorders>
            <w:noWrap w:val="0"/>
            <w:vAlign w:val="center"/>
          </w:tcPr>
          <w:p w14:paraId="5BB6C33B">
            <w:pPr>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防护</w:t>
            </w:r>
          </w:p>
        </w:tc>
      </w:tr>
      <w:tr w14:paraId="1D06B09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59" w:hRule="exact"/>
          <w:jc w:val="center"/>
        </w:trPr>
        <w:tc>
          <w:tcPr>
            <w:tcW w:w="1353" w:type="dxa"/>
            <w:tcBorders>
              <w:tl2br w:val="nil"/>
              <w:tr2bl w:val="nil"/>
            </w:tcBorders>
            <w:noWrap w:val="0"/>
            <w:vAlign w:val="center"/>
          </w:tcPr>
          <w:p w14:paraId="6504615A">
            <w:pPr>
              <w:autoSpaceDE w:val="0"/>
              <w:autoSpaceDN w:val="0"/>
              <w:adjustRightInd w:val="0"/>
              <w:ind w:firstLine="0" w:firstLineChars="0"/>
              <w:jc w:val="center"/>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11</w:t>
            </w:r>
          </w:p>
        </w:tc>
        <w:tc>
          <w:tcPr>
            <w:tcW w:w="1936" w:type="dxa"/>
            <w:gridSpan w:val="2"/>
            <w:tcBorders>
              <w:tl2br w:val="nil"/>
              <w:tr2bl w:val="nil"/>
            </w:tcBorders>
            <w:noWrap w:val="0"/>
            <w:vAlign w:val="center"/>
          </w:tcPr>
          <w:p w14:paraId="4C87927D">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急救箱</w:t>
            </w:r>
          </w:p>
        </w:tc>
        <w:tc>
          <w:tcPr>
            <w:tcW w:w="1003" w:type="dxa"/>
            <w:tcBorders>
              <w:tl2br w:val="nil"/>
              <w:tr2bl w:val="nil"/>
            </w:tcBorders>
            <w:noWrap w:val="0"/>
            <w:vAlign w:val="center"/>
          </w:tcPr>
          <w:p w14:paraId="2EBCF486">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1</w:t>
            </w:r>
          </w:p>
        </w:tc>
        <w:tc>
          <w:tcPr>
            <w:tcW w:w="723" w:type="dxa"/>
            <w:gridSpan w:val="2"/>
            <w:tcBorders>
              <w:tl2br w:val="nil"/>
              <w:tr2bl w:val="nil"/>
            </w:tcBorders>
            <w:noWrap w:val="0"/>
            <w:vAlign w:val="center"/>
          </w:tcPr>
          <w:p w14:paraId="38B55B27">
            <w:pPr>
              <w:keepNext w:val="0"/>
              <w:keepLines w:val="0"/>
              <w:pageBreakBefore w:val="0"/>
              <w:kinsoku/>
              <w:wordWrap/>
              <w:overflowPunct/>
              <w:topLinePunct w:val="0"/>
              <w:autoSpaceDE/>
              <w:autoSpaceDN/>
              <w:bidi w:val="0"/>
              <w:adjustRightInd/>
              <w:snapToGrid/>
              <w:spacing w:line="240" w:lineRule="auto"/>
              <w:jc w:val="center"/>
              <w:textAlignment w:val="auto"/>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个</w:t>
            </w:r>
          </w:p>
        </w:tc>
        <w:tc>
          <w:tcPr>
            <w:tcW w:w="2116" w:type="dxa"/>
            <w:gridSpan w:val="2"/>
            <w:tcBorders>
              <w:tl2br w:val="nil"/>
              <w:tr2bl w:val="nil"/>
            </w:tcBorders>
            <w:noWrap w:val="0"/>
            <w:vAlign w:val="center"/>
          </w:tcPr>
          <w:p w14:paraId="4B7643B7">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2C25D29D">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救护</w:t>
            </w:r>
          </w:p>
        </w:tc>
      </w:tr>
      <w:tr w14:paraId="6E9B006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367" w:hRule="exact"/>
          <w:jc w:val="center"/>
        </w:trPr>
        <w:tc>
          <w:tcPr>
            <w:tcW w:w="1353" w:type="dxa"/>
            <w:tcBorders>
              <w:tl2br w:val="nil"/>
              <w:tr2bl w:val="nil"/>
            </w:tcBorders>
            <w:noWrap w:val="0"/>
            <w:vAlign w:val="center"/>
          </w:tcPr>
          <w:p w14:paraId="6E666F5D">
            <w:pPr>
              <w:autoSpaceDE w:val="0"/>
              <w:autoSpaceDN w:val="0"/>
              <w:adjustRightInd w:val="0"/>
              <w:ind w:firstLine="0" w:firstLineChars="0"/>
              <w:jc w:val="center"/>
              <w:rPr>
                <w:rFonts w:hint="default"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12</w:t>
            </w:r>
          </w:p>
        </w:tc>
        <w:tc>
          <w:tcPr>
            <w:tcW w:w="1936" w:type="dxa"/>
            <w:gridSpan w:val="2"/>
            <w:tcBorders>
              <w:tl2br w:val="nil"/>
              <w:tr2bl w:val="nil"/>
            </w:tcBorders>
            <w:noWrap w:val="0"/>
            <w:vAlign w:val="center"/>
          </w:tcPr>
          <w:p w14:paraId="503FBFBF">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担架</w:t>
            </w:r>
          </w:p>
        </w:tc>
        <w:tc>
          <w:tcPr>
            <w:tcW w:w="1003" w:type="dxa"/>
            <w:tcBorders>
              <w:tl2br w:val="nil"/>
              <w:tr2bl w:val="nil"/>
            </w:tcBorders>
            <w:noWrap w:val="0"/>
            <w:vAlign w:val="center"/>
          </w:tcPr>
          <w:p w14:paraId="0E41667F">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1</w:t>
            </w:r>
          </w:p>
        </w:tc>
        <w:tc>
          <w:tcPr>
            <w:tcW w:w="723" w:type="dxa"/>
            <w:gridSpan w:val="2"/>
            <w:tcBorders>
              <w:tl2br w:val="nil"/>
              <w:tr2bl w:val="nil"/>
            </w:tcBorders>
            <w:noWrap w:val="0"/>
            <w:vAlign w:val="center"/>
          </w:tcPr>
          <w:p w14:paraId="40DC423B">
            <w:pPr>
              <w:keepNext w:val="0"/>
              <w:keepLines w:val="0"/>
              <w:pageBreakBefore w:val="0"/>
              <w:kinsoku/>
              <w:wordWrap/>
              <w:overflowPunct/>
              <w:topLinePunct w:val="0"/>
              <w:autoSpaceDE/>
              <w:autoSpaceDN/>
              <w:bidi w:val="0"/>
              <w:adjustRightInd/>
              <w:snapToGrid/>
              <w:spacing w:line="240" w:lineRule="auto"/>
              <w:jc w:val="center"/>
              <w:textAlignment w:val="auto"/>
              <w:rPr>
                <w:rFonts w:hint="default" w:ascii="宋体" w:hAnsi="宋体" w:eastAsia="宋体" w:cs="宋体"/>
                <w:color w:val="000000" w:themeColor="text1"/>
                <w:kern w:val="0"/>
                <w:sz w:val="21"/>
                <w:szCs w:val="21"/>
                <w:lang w:val="en-US" w:eastAsia="zh-CN"/>
                <w14:textFill>
                  <w14:solidFill>
                    <w14:schemeClr w14:val="tx1"/>
                  </w14:solidFill>
                </w14:textFill>
              </w:rPr>
            </w:pPr>
            <w:r>
              <w:rPr>
                <w:rFonts w:hint="eastAsia" w:ascii="宋体" w:hAnsi="宋体" w:cs="宋体"/>
                <w:color w:val="000000" w:themeColor="text1"/>
                <w:kern w:val="0"/>
                <w:sz w:val="21"/>
                <w:szCs w:val="21"/>
                <w:lang w:val="en-US" w:eastAsia="zh-CN"/>
                <w14:textFill>
                  <w14:solidFill>
                    <w14:schemeClr w14:val="tx1"/>
                  </w14:solidFill>
                </w14:textFill>
              </w:rPr>
              <w:t>副</w:t>
            </w:r>
          </w:p>
        </w:tc>
        <w:tc>
          <w:tcPr>
            <w:tcW w:w="2116" w:type="dxa"/>
            <w:gridSpan w:val="2"/>
            <w:tcBorders>
              <w:tl2br w:val="nil"/>
              <w:tr2bl w:val="nil"/>
            </w:tcBorders>
            <w:noWrap w:val="0"/>
            <w:vAlign w:val="center"/>
          </w:tcPr>
          <w:p w14:paraId="2A8D00B4">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195D9E48">
            <w:pPr>
              <w:spacing w:line="240" w:lineRule="auto"/>
              <w:jc w:val="center"/>
              <w:rPr>
                <w:rFonts w:hint="eastAsia" w:ascii="宋体" w:hAnsi="宋体" w:eastAsia="宋体" w:cs="宋体"/>
                <w:color w:val="000000" w:themeColor="text1"/>
                <w:sz w:val="21"/>
                <w:szCs w:val="21"/>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救护</w:t>
            </w:r>
          </w:p>
        </w:tc>
      </w:tr>
      <w:tr w14:paraId="205E640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06" w:hRule="exact"/>
          <w:jc w:val="center"/>
        </w:trPr>
        <w:tc>
          <w:tcPr>
            <w:tcW w:w="1353" w:type="dxa"/>
            <w:tcBorders>
              <w:tl2br w:val="nil"/>
              <w:tr2bl w:val="nil"/>
            </w:tcBorders>
            <w:noWrap w:val="0"/>
            <w:vAlign w:val="center"/>
          </w:tcPr>
          <w:p w14:paraId="5BB0A86F">
            <w:pPr>
              <w:keepNext w:val="0"/>
              <w:keepLines w:val="0"/>
              <w:pageBreakBefore w:val="0"/>
              <w:widowControl w:val="0"/>
              <w:numPr>
                <w:ilvl w:val="0"/>
                <w:numId w:val="0"/>
              </w:numPr>
              <w:kinsoku/>
              <w:wordWrap/>
              <w:overflowPunct/>
              <w:topLinePunct w:val="0"/>
              <w:bidi w:val="0"/>
              <w:adjustRightInd w:val="0"/>
              <w:snapToGrid w:val="0"/>
              <w:spacing w:line="240" w:lineRule="auto"/>
              <w:ind w:left="0" w:leftChars="0" w:right="0" w:rightChars="0" w:firstLine="0" w:firstLineChars="0"/>
              <w:jc w:val="center"/>
              <w:textAlignment w:val="auto"/>
              <w:rPr>
                <w:rFonts w:hint="default" w:ascii="宋体" w:hAnsi="宋体" w:eastAsia="宋体" w:cs="宋体"/>
                <w:snapToGrid w:val="0"/>
                <w:color w:val="000000" w:themeColor="text1"/>
                <w:kern w:val="0"/>
                <w:sz w:val="21"/>
                <w:szCs w:val="21"/>
                <w:lang w:val="en-US" w:eastAsia="zh-CN"/>
                <w14:textFill>
                  <w14:solidFill>
                    <w14:schemeClr w14:val="tx1"/>
                  </w14:solidFill>
                </w14:textFill>
              </w:rPr>
            </w:pPr>
            <w:r>
              <w:rPr>
                <w:rFonts w:hint="eastAsia" w:ascii="宋体" w:hAnsi="宋体" w:eastAsia="宋体" w:cs="宋体"/>
                <w:snapToGrid w:val="0"/>
                <w:color w:val="000000" w:themeColor="text1"/>
                <w:kern w:val="0"/>
                <w:sz w:val="21"/>
                <w:szCs w:val="21"/>
                <w:lang w:val="en-US" w:eastAsia="zh-CN"/>
                <w14:textFill>
                  <w14:solidFill>
                    <w14:schemeClr w14:val="tx1"/>
                  </w14:solidFill>
                </w14:textFill>
              </w:rPr>
              <w:t>13</w:t>
            </w:r>
          </w:p>
        </w:tc>
        <w:tc>
          <w:tcPr>
            <w:tcW w:w="1936" w:type="dxa"/>
            <w:gridSpan w:val="2"/>
            <w:tcBorders>
              <w:tl2br w:val="nil"/>
              <w:tr2bl w:val="nil"/>
            </w:tcBorders>
            <w:noWrap w:val="0"/>
            <w:vAlign w:val="center"/>
          </w:tcPr>
          <w:p w14:paraId="03E49A65">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洗眼器</w:t>
            </w:r>
          </w:p>
        </w:tc>
        <w:tc>
          <w:tcPr>
            <w:tcW w:w="1003" w:type="dxa"/>
            <w:tcBorders>
              <w:tl2br w:val="nil"/>
              <w:tr2bl w:val="nil"/>
            </w:tcBorders>
            <w:noWrap w:val="0"/>
            <w:vAlign w:val="center"/>
          </w:tcPr>
          <w:p w14:paraId="531F8B4C">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1</w:t>
            </w:r>
          </w:p>
        </w:tc>
        <w:tc>
          <w:tcPr>
            <w:tcW w:w="723" w:type="dxa"/>
            <w:gridSpan w:val="2"/>
            <w:tcBorders>
              <w:tl2br w:val="nil"/>
              <w:tr2bl w:val="nil"/>
            </w:tcBorders>
            <w:noWrap w:val="0"/>
            <w:vAlign w:val="center"/>
          </w:tcPr>
          <w:p w14:paraId="2B08F9DD">
            <w:pPr>
              <w:keepNext w:val="0"/>
              <w:keepLines w:val="0"/>
              <w:pageBreakBefore w:val="0"/>
              <w:kinsoku/>
              <w:wordWrap/>
              <w:overflowPunct/>
              <w:topLinePunct w:val="0"/>
              <w:autoSpaceDE/>
              <w:autoSpaceDN/>
              <w:bidi w:val="0"/>
              <w:adjustRightInd/>
              <w:snapToGrid/>
              <w:spacing w:after="120" w:line="240" w:lineRule="auto"/>
              <w:jc w:val="center"/>
              <w:textAlignment w:val="auto"/>
              <w:rPr>
                <w:rFonts w:hint="eastAsia" w:ascii="宋体" w:hAnsi="宋体" w:eastAsia="宋体" w:cs="宋体"/>
                <w:bCs/>
                <w:color w:val="000000" w:themeColor="text1"/>
                <w:sz w:val="21"/>
                <w:szCs w:val="21"/>
                <w:lang w:eastAsia="zh-CN"/>
                <w14:textFill>
                  <w14:solidFill>
                    <w14:schemeClr w14:val="tx1"/>
                  </w14:solidFill>
                </w14:textFill>
              </w:rPr>
            </w:pPr>
            <w:r>
              <w:rPr>
                <w:rFonts w:hint="eastAsia" w:ascii="宋体" w:hAnsi="宋体" w:cs="宋体"/>
                <w:color w:val="000000" w:themeColor="text1"/>
                <w:szCs w:val="21"/>
                <w:lang w:eastAsia="zh-CN"/>
                <w14:textFill>
                  <w14:solidFill>
                    <w14:schemeClr w14:val="tx1"/>
                  </w14:solidFill>
                </w14:textFill>
              </w:rPr>
              <w:t>个</w:t>
            </w:r>
          </w:p>
        </w:tc>
        <w:tc>
          <w:tcPr>
            <w:tcW w:w="2116" w:type="dxa"/>
            <w:gridSpan w:val="2"/>
            <w:tcBorders>
              <w:tl2br w:val="nil"/>
              <w:tr2bl w:val="nil"/>
            </w:tcBorders>
            <w:noWrap w:val="0"/>
            <w:vAlign w:val="center"/>
          </w:tcPr>
          <w:p w14:paraId="54F449F8">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76234F0F">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救护</w:t>
            </w:r>
          </w:p>
        </w:tc>
      </w:tr>
      <w:tr w14:paraId="3347A6C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06" w:hRule="exact"/>
          <w:jc w:val="center"/>
        </w:trPr>
        <w:tc>
          <w:tcPr>
            <w:tcW w:w="1353" w:type="dxa"/>
            <w:tcBorders>
              <w:tl2br w:val="nil"/>
              <w:tr2bl w:val="nil"/>
            </w:tcBorders>
            <w:noWrap w:val="0"/>
            <w:vAlign w:val="center"/>
          </w:tcPr>
          <w:p w14:paraId="54C6920C">
            <w:pPr>
              <w:keepNext w:val="0"/>
              <w:keepLines w:val="0"/>
              <w:pageBreakBefore w:val="0"/>
              <w:widowControl w:val="0"/>
              <w:numPr>
                <w:ilvl w:val="0"/>
                <w:numId w:val="0"/>
              </w:numPr>
              <w:kinsoku/>
              <w:wordWrap/>
              <w:overflowPunct/>
              <w:topLinePunct w:val="0"/>
              <w:bidi w:val="0"/>
              <w:adjustRightInd w:val="0"/>
              <w:snapToGrid w:val="0"/>
              <w:spacing w:line="240" w:lineRule="auto"/>
              <w:ind w:left="0" w:leftChars="0" w:right="0" w:rightChars="0" w:firstLine="0" w:firstLineChars="0"/>
              <w:jc w:val="center"/>
              <w:textAlignment w:val="auto"/>
              <w:rPr>
                <w:rFonts w:hint="default" w:ascii="宋体" w:hAnsi="宋体" w:eastAsia="宋体" w:cs="宋体"/>
                <w:snapToGrid w:val="0"/>
                <w:color w:val="000000" w:themeColor="text1"/>
                <w:kern w:val="0"/>
                <w:sz w:val="21"/>
                <w:szCs w:val="21"/>
                <w:lang w:val="en-US" w:eastAsia="zh-CN"/>
                <w14:textFill>
                  <w14:solidFill>
                    <w14:schemeClr w14:val="tx1"/>
                  </w14:solidFill>
                </w14:textFill>
              </w:rPr>
            </w:pPr>
            <w:r>
              <w:rPr>
                <w:rFonts w:hint="eastAsia" w:ascii="宋体" w:hAnsi="宋体" w:cs="宋体"/>
                <w:snapToGrid w:val="0"/>
                <w:color w:val="000000" w:themeColor="text1"/>
                <w:kern w:val="0"/>
                <w:sz w:val="21"/>
                <w:szCs w:val="21"/>
                <w:lang w:val="en-US" w:eastAsia="zh-CN"/>
                <w14:textFill>
                  <w14:solidFill>
                    <w14:schemeClr w14:val="tx1"/>
                  </w14:solidFill>
                </w14:textFill>
              </w:rPr>
              <w:t>14</w:t>
            </w:r>
          </w:p>
        </w:tc>
        <w:tc>
          <w:tcPr>
            <w:tcW w:w="1936" w:type="dxa"/>
            <w:gridSpan w:val="2"/>
            <w:tcBorders>
              <w:tl2br w:val="nil"/>
              <w:tr2bl w:val="nil"/>
            </w:tcBorders>
            <w:noWrap w:val="0"/>
            <w:vAlign w:val="center"/>
          </w:tcPr>
          <w:p w14:paraId="7F84DC1B">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防护面罩</w:t>
            </w:r>
          </w:p>
        </w:tc>
        <w:tc>
          <w:tcPr>
            <w:tcW w:w="1003" w:type="dxa"/>
            <w:tcBorders>
              <w:tl2br w:val="nil"/>
              <w:tr2bl w:val="nil"/>
            </w:tcBorders>
            <w:noWrap w:val="0"/>
            <w:vAlign w:val="center"/>
          </w:tcPr>
          <w:p w14:paraId="4B6E7B57">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3</w:t>
            </w:r>
          </w:p>
        </w:tc>
        <w:tc>
          <w:tcPr>
            <w:tcW w:w="723" w:type="dxa"/>
            <w:gridSpan w:val="2"/>
            <w:tcBorders>
              <w:tl2br w:val="nil"/>
              <w:tr2bl w:val="nil"/>
            </w:tcBorders>
            <w:noWrap w:val="0"/>
            <w:vAlign w:val="center"/>
          </w:tcPr>
          <w:p w14:paraId="3DFB4DC6">
            <w:pPr>
              <w:keepNext w:val="0"/>
              <w:keepLines w:val="0"/>
              <w:pageBreakBefore w:val="0"/>
              <w:kinsoku/>
              <w:wordWrap/>
              <w:overflowPunct/>
              <w:topLinePunct w:val="0"/>
              <w:autoSpaceDE/>
              <w:autoSpaceDN/>
              <w:bidi w:val="0"/>
              <w:adjustRightInd/>
              <w:snapToGrid/>
              <w:spacing w:after="120" w:line="240" w:lineRule="auto"/>
              <w:jc w:val="center"/>
              <w:textAlignment w:val="auto"/>
              <w:rPr>
                <w:rFonts w:hint="default" w:ascii="宋体" w:hAnsi="宋体" w:eastAsia="宋体" w:cs="宋体"/>
                <w:bCs/>
                <w:color w:val="000000" w:themeColor="text1"/>
                <w:sz w:val="21"/>
                <w:szCs w:val="21"/>
                <w:lang w:val="en-US" w:eastAsia="zh-CN"/>
                <w14:textFill>
                  <w14:solidFill>
                    <w14:schemeClr w14:val="tx1"/>
                  </w14:solidFill>
                </w14:textFill>
              </w:rPr>
            </w:pPr>
            <w:r>
              <w:rPr>
                <w:rFonts w:hint="eastAsia" w:ascii="宋体" w:hAnsi="宋体" w:cs="宋体"/>
                <w:bCs/>
                <w:color w:val="000000" w:themeColor="text1"/>
                <w:sz w:val="21"/>
                <w:szCs w:val="21"/>
                <w:lang w:val="en-US" w:eastAsia="zh-CN"/>
                <w14:textFill>
                  <w14:solidFill>
                    <w14:schemeClr w14:val="tx1"/>
                  </w14:solidFill>
                </w14:textFill>
              </w:rPr>
              <w:t>副</w:t>
            </w:r>
          </w:p>
        </w:tc>
        <w:tc>
          <w:tcPr>
            <w:tcW w:w="2116" w:type="dxa"/>
            <w:gridSpan w:val="2"/>
            <w:tcBorders>
              <w:tl2br w:val="nil"/>
              <w:tr2bl w:val="nil"/>
            </w:tcBorders>
            <w:noWrap w:val="0"/>
            <w:vAlign w:val="center"/>
          </w:tcPr>
          <w:p w14:paraId="1CA9C593">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237A5D9C">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防护</w:t>
            </w:r>
          </w:p>
        </w:tc>
      </w:tr>
      <w:tr w14:paraId="27957AE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06" w:hRule="exact"/>
          <w:jc w:val="center"/>
        </w:trPr>
        <w:tc>
          <w:tcPr>
            <w:tcW w:w="1353" w:type="dxa"/>
            <w:tcBorders>
              <w:tl2br w:val="nil"/>
              <w:tr2bl w:val="nil"/>
            </w:tcBorders>
            <w:noWrap w:val="0"/>
            <w:vAlign w:val="center"/>
          </w:tcPr>
          <w:p w14:paraId="4B92F852">
            <w:pPr>
              <w:keepNext w:val="0"/>
              <w:keepLines w:val="0"/>
              <w:pageBreakBefore w:val="0"/>
              <w:widowControl w:val="0"/>
              <w:numPr>
                <w:ilvl w:val="0"/>
                <w:numId w:val="0"/>
              </w:numPr>
              <w:kinsoku/>
              <w:wordWrap/>
              <w:overflowPunct/>
              <w:topLinePunct w:val="0"/>
              <w:bidi w:val="0"/>
              <w:adjustRightInd w:val="0"/>
              <w:snapToGrid w:val="0"/>
              <w:spacing w:line="240" w:lineRule="auto"/>
              <w:ind w:left="0" w:leftChars="0" w:right="0" w:rightChars="0" w:firstLine="0" w:firstLineChars="0"/>
              <w:jc w:val="center"/>
              <w:textAlignment w:val="auto"/>
              <w:rPr>
                <w:rFonts w:hint="default" w:ascii="宋体" w:hAnsi="宋体" w:eastAsia="宋体" w:cs="宋体"/>
                <w:snapToGrid w:val="0"/>
                <w:color w:val="000000" w:themeColor="text1"/>
                <w:kern w:val="0"/>
                <w:sz w:val="21"/>
                <w:szCs w:val="21"/>
                <w:lang w:val="en-US" w:eastAsia="zh-CN"/>
                <w14:textFill>
                  <w14:solidFill>
                    <w14:schemeClr w14:val="tx1"/>
                  </w14:solidFill>
                </w14:textFill>
              </w:rPr>
            </w:pPr>
            <w:r>
              <w:rPr>
                <w:rFonts w:hint="eastAsia" w:ascii="宋体" w:hAnsi="宋体" w:cs="宋体"/>
                <w:snapToGrid w:val="0"/>
                <w:color w:val="000000" w:themeColor="text1"/>
                <w:kern w:val="0"/>
                <w:sz w:val="21"/>
                <w:szCs w:val="21"/>
                <w:lang w:val="en-US" w:eastAsia="zh-CN"/>
                <w14:textFill>
                  <w14:solidFill>
                    <w14:schemeClr w14:val="tx1"/>
                  </w14:solidFill>
                </w14:textFill>
              </w:rPr>
              <w:t>15</w:t>
            </w:r>
          </w:p>
        </w:tc>
        <w:tc>
          <w:tcPr>
            <w:tcW w:w="1936" w:type="dxa"/>
            <w:gridSpan w:val="2"/>
            <w:tcBorders>
              <w:tl2br w:val="nil"/>
              <w:tr2bl w:val="nil"/>
            </w:tcBorders>
            <w:noWrap w:val="0"/>
            <w:vAlign w:val="center"/>
          </w:tcPr>
          <w:p w14:paraId="1C347221">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护目镜</w:t>
            </w:r>
          </w:p>
        </w:tc>
        <w:tc>
          <w:tcPr>
            <w:tcW w:w="1003" w:type="dxa"/>
            <w:tcBorders>
              <w:tl2br w:val="nil"/>
              <w:tr2bl w:val="nil"/>
            </w:tcBorders>
            <w:noWrap w:val="0"/>
            <w:vAlign w:val="center"/>
          </w:tcPr>
          <w:p w14:paraId="7B27FB2D">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10</w:t>
            </w:r>
          </w:p>
        </w:tc>
        <w:tc>
          <w:tcPr>
            <w:tcW w:w="723" w:type="dxa"/>
            <w:gridSpan w:val="2"/>
            <w:tcBorders>
              <w:tl2br w:val="nil"/>
              <w:tr2bl w:val="nil"/>
            </w:tcBorders>
            <w:noWrap w:val="0"/>
            <w:vAlign w:val="center"/>
          </w:tcPr>
          <w:p w14:paraId="1F4A8D97">
            <w:pPr>
              <w:keepNext w:val="0"/>
              <w:keepLines w:val="0"/>
              <w:pageBreakBefore w:val="0"/>
              <w:kinsoku/>
              <w:wordWrap/>
              <w:overflowPunct/>
              <w:topLinePunct w:val="0"/>
              <w:autoSpaceDE/>
              <w:autoSpaceDN/>
              <w:bidi w:val="0"/>
              <w:adjustRightInd/>
              <w:snapToGrid/>
              <w:spacing w:after="120" w:line="240" w:lineRule="auto"/>
              <w:jc w:val="center"/>
              <w:textAlignment w:val="auto"/>
              <w:rPr>
                <w:rFonts w:hint="eastAsia" w:ascii="宋体" w:hAnsi="宋体" w:eastAsia="宋体" w:cs="宋体"/>
                <w:bCs/>
                <w:color w:val="000000" w:themeColor="text1"/>
                <w:sz w:val="21"/>
                <w:szCs w:val="21"/>
                <w:lang w:eastAsia="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副</w:t>
            </w:r>
          </w:p>
        </w:tc>
        <w:tc>
          <w:tcPr>
            <w:tcW w:w="2116" w:type="dxa"/>
            <w:gridSpan w:val="2"/>
            <w:tcBorders>
              <w:tl2br w:val="nil"/>
              <w:tr2bl w:val="nil"/>
            </w:tcBorders>
            <w:noWrap w:val="0"/>
            <w:vAlign w:val="center"/>
          </w:tcPr>
          <w:p w14:paraId="1B440DEF">
            <w:pPr>
              <w:autoSpaceDE w:val="0"/>
              <w:autoSpaceDN w:val="0"/>
              <w:adjustRightInd w:val="0"/>
              <w:spacing w:line="360" w:lineRule="auto"/>
              <w:jc w:val="center"/>
              <w:rPr>
                <w:rFonts w:hint="eastAsia" w:ascii="宋体" w:hAnsi="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3AFC610A">
            <w:pPr>
              <w:spacing w:line="240" w:lineRule="auto"/>
              <w:jc w:val="center"/>
              <w:rPr>
                <w:rFonts w:hint="eastAsia" w:ascii="宋体" w:hAnsi="宋体" w:eastAsia="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防护</w:t>
            </w:r>
          </w:p>
        </w:tc>
      </w:tr>
      <w:tr w14:paraId="003E81A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06" w:hRule="exact"/>
          <w:jc w:val="center"/>
        </w:trPr>
        <w:tc>
          <w:tcPr>
            <w:tcW w:w="1353" w:type="dxa"/>
            <w:tcBorders>
              <w:tl2br w:val="nil"/>
              <w:tr2bl w:val="nil"/>
            </w:tcBorders>
            <w:noWrap w:val="0"/>
            <w:vAlign w:val="center"/>
          </w:tcPr>
          <w:p w14:paraId="4664D7C5">
            <w:pPr>
              <w:keepNext w:val="0"/>
              <w:keepLines w:val="0"/>
              <w:pageBreakBefore w:val="0"/>
              <w:widowControl w:val="0"/>
              <w:numPr>
                <w:ilvl w:val="0"/>
                <w:numId w:val="0"/>
              </w:numPr>
              <w:kinsoku/>
              <w:wordWrap/>
              <w:overflowPunct/>
              <w:topLinePunct w:val="0"/>
              <w:bidi w:val="0"/>
              <w:adjustRightInd w:val="0"/>
              <w:snapToGrid w:val="0"/>
              <w:spacing w:line="240" w:lineRule="auto"/>
              <w:ind w:left="0" w:leftChars="0" w:right="0" w:rightChars="0" w:firstLine="0" w:firstLineChars="0"/>
              <w:jc w:val="center"/>
              <w:textAlignment w:val="auto"/>
              <w:rPr>
                <w:rFonts w:hint="default" w:ascii="宋体" w:hAnsi="宋体" w:cs="宋体"/>
                <w:snapToGrid w:val="0"/>
                <w:color w:val="000000" w:themeColor="text1"/>
                <w:kern w:val="0"/>
                <w:sz w:val="21"/>
                <w:szCs w:val="21"/>
                <w:lang w:val="en-US" w:eastAsia="zh-CN"/>
                <w14:textFill>
                  <w14:solidFill>
                    <w14:schemeClr w14:val="tx1"/>
                  </w14:solidFill>
                </w14:textFill>
              </w:rPr>
            </w:pPr>
            <w:r>
              <w:rPr>
                <w:rFonts w:hint="eastAsia" w:ascii="宋体" w:hAnsi="宋体" w:cs="宋体"/>
                <w:snapToGrid w:val="0"/>
                <w:color w:val="000000" w:themeColor="text1"/>
                <w:kern w:val="0"/>
                <w:sz w:val="21"/>
                <w:szCs w:val="21"/>
                <w:lang w:val="en-US" w:eastAsia="zh-CN"/>
                <w14:textFill>
                  <w14:solidFill>
                    <w14:schemeClr w14:val="tx1"/>
                  </w14:solidFill>
                </w14:textFill>
              </w:rPr>
              <w:t>16</w:t>
            </w:r>
          </w:p>
        </w:tc>
        <w:tc>
          <w:tcPr>
            <w:tcW w:w="1936" w:type="dxa"/>
            <w:gridSpan w:val="2"/>
            <w:tcBorders>
              <w:tl2br w:val="nil"/>
              <w:tr2bl w:val="nil"/>
            </w:tcBorders>
            <w:noWrap w:val="0"/>
            <w:vAlign w:val="center"/>
          </w:tcPr>
          <w:p w14:paraId="774E82FA">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防火服</w:t>
            </w:r>
          </w:p>
        </w:tc>
        <w:tc>
          <w:tcPr>
            <w:tcW w:w="1003" w:type="dxa"/>
            <w:tcBorders>
              <w:tl2br w:val="nil"/>
              <w:tr2bl w:val="nil"/>
            </w:tcBorders>
            <w:noWrap w:val="0"/>
            <w:vAlign w:val="center"/>
          </w:tcPr>
          <w:p w14:paraId="1815A555">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14:textFill>
                  <w14:solidFill>
                    <w14:schemeClr w14:val="tx1"/>
                  </w14:solidFill>
                </w14:textFill>
              </w:rPr>
              <w:t>2</w:t>
            </w:r>
          </w:p>
        </w:tc>
        <w:tc>
          <w:tcPr>
            <w:tcW w:w="723" w:type="dxa"/>
            <w:gridSpan w:val="2"/>
            <w:tcBorders>
              <w:tl2br w:val="nil"/>
              <w:tr2bl w:val="nil"/>
            </w:tcBorders>
            <w:noWrap w:val="0"/>
            <w:vAlign w:val="center"/>
          </w:tcPr>
          <w:p w14:paraId="1617C613">
            <w:pPr>
              <w:keepNext w:val="0"/>
              <w:keepLines w:val="0"/>
              <w:pageBreakBefore w:val="0"/>
              <w:kinsoku/>
              <w:wordWrap/>
              <w:overflowPunct/>
              <w:topLinePunct w:val="0"/>
              <w:autoSpaceDE/>
              <w:autoSpaceDN/>
              <w:bidi w:val="0"/>
              <w:adjustRightInd/>
              <w:snapToGrid/>
              <w:spacing w:after="120" w:line="240" w:lineRule="auto"/>
              <w:jc w:val="center"/>
              <w:textAlignment w:val="auto"/>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套</w:t>
            </w:r>
          </w:p>
        </w:tc>
        <w:tc>
          <w:tcPr>
            <w:tcW w:w="2116" w:type="dxa"/>
            <w:gridSpan w:val="2"/>
            <w:tcBorders>
              <w:tl2br w:val="nil"/>
              <w:tr2bl w:val="nil"/>
            </w:tcBorders>
            <w:noWrap w:val="0"/>
            <w:vAlign w:val="center"/>
          </w:tcPr>
          <w:p w14:paraId="2D0A3F42">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25F09387">
            <w:pPr>
              <w:spacing w:line="240" w:lineRule="auto"/>
              <w:jc w:val="center"/>
              <w:rPr>
                <w:rFonts w:hint="default" w:ascii="宋体" w:hAnsi="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防护</w:t>
            </w:r>
          </w:p>
        </w:tc>
      </w:tr>
      <w:tr w14:paraId="1E03FDC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Ex>
        <w:trPr>
          <w:trHeight w:val="706" w:hRule="exact"/>
          <w:jc w:val="center"/>
        </w:trPr>
        <w:tc>
          <w:tcPr>
            <w:tcW w:w="1353" w:type="dxa"/>
            <w:tcBorders>
              <w:tl2br w:val="nil"/>
              <w:tr2bl w:val="nil"/>
            </w:tcBorders>
            <w:noWrap w:val="0"/>
            <w:vAlign w:val="center"/>
          </w:tcPr>
          <w:p w14:paraId="67F2D272">
            <w:pPr>
              <w:keepNext w:val="0"/>
              <w:keepLines w:val="0"/>
              <w:pageBreakBefore w:val="0"/>
              <w:widowControl w:val="0"/>
              <w:numPr>
                <w:ilvl w:val="0"/>
                <w:numId w:val="0"/>
              </w:numPr>
              <w:kinsoku/>
              <w:wordWrap/>
              <w:overflowPunct/>
              <w:topLinePunct w:val="0"/>
              <w:bidi w:val="0"/>
              <w:adjustRightInd w:val="0"/>
              <w:snapToGrid w:val="0"/>
              <w:spacing w:line="240" w:lineRule="auto"/>
              <w:ind w:left="0" w:leftChars="0" w:right="0" w:rightChars="0" w:firstLine="0" w:firstLineChars="0"/>
              <w:jc w:val="center"/>
              <w:textAlignment w:val="auto"/>
              <w:rPr>
                <w:rFonts w:hint="default" w:ascii="宋体" w:hAnsi="宋体" w:cs="宋体"/>
                <w:snapToGrid w:val="0"/>
                <w:color w:val="000000" w:themeColor="text1"/>
                <w:kern w:val="0"/>
                <w:sz w:val="21"/>
                <w:szCs w:val="21"/>
                <w:lang w:val="en-US" w:eastAsia="zh-CN"/>
                <w14:textFill>
                  <w14:solidFill>
                    <w14:schemeClr w14:val="tx1"/>
                  </w14:solidFill>
                </w14:textFill>
              </w:rPr>
            </w:pPr>
            <w:r>
              <w:rPr>
                <w:rFonts w:hint="eastAsia" w:ascii="宋体" w:hAnsi="宋体" w:cs="宋体"/>
                <w:snapToGrid w:val="0"/>
                <w:color w:val="000000" w:themeColor="text1"/>
                <w:kern w:val="0"/>
                <w:sz w:val="21"/>
                <w:szCs w:val="21"/>
                <w:lang w:val="en-US" w:eastAsia="zh-CN"/>
                <w14:textFill>
                  <w14:solidFill>
                    <w14:schemeClr w14:val="tx1"/>
                  </w14:solidFill>
                </w14:textFill>
              </w:rPr>
              <w:t>17</w:t>
            </w:r>
          </w:p>
        </w:tc>
        <w:tc>
          <w:tcPr>
            <w:tcW w:w="1936" w:type="dxa"/>
            <w:gridSpan w:val="2"/>
            <w:tcBorders>
              <w:tl2br w:val="nil"/>
              <w:tr2bl w:val="nil"/>
            </w:tcBorders>
            <w:noWrap w:val="0"/>
            <w:vAlign w:val="center"/>
          </w:tcPr>
          <w:p w14:paraId="041BA9AB">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防水鞋</w:t>
            </w:r>
          </w:p>
        </w:tc>
        <w:tc>
          <w:tcPr>
            <w:tcW w:w="1003" w:type="dxa"/>
            <w:tcBorders>
              <w:tl2br w:val="nil"/>
              <w:tr2bl w:val="nil"/>
            </w:tcBorders>
            <w:noWrap w:val="0"/>
            <w:vAlign w:val="center"/>
          </w:tcPr>
          <w:p w14:paraId="6787C77F">
            <w:pPr>
              <w:autoSpaceDE w:val="0"/>
              <w:autoSpaceDN w:val="0"/>
              <w:adjustRightInd w:val="0"/>
              <w:spacing w:line="360" w:lineRule="auto"/>
              <w:jc w:val="center"/>
              <w:rPr>
                <w:rFonts w:hint="eastAsia" w:ascii="宋体" w:hAnsi="宋体" w:cs="宋体"/>
                <w:color w:val="000000" w:themeColor="text1"/>
                <w:szCs w:val="21"/>
                <w:lang w:val="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3</w:t>
            </w:r>
          </w:p>
        </w:tc>
        <w:tc>
          <w:tcPr>
            <w:tcW w:w="723" w:type="dxa"/>
            <w:gridSpan w:val="2"/>
            <w:tcBorders>
              <w:tl2br w:val="nil"/>
              <w:tr2bl w:val="nil"/>
            </w:tcBorders>
            <w:noWrap w:val="0"/>
            <w:vAlign w:val="center"/>
          </w:tcPr>
          <w:p w14:paraId="35862CF5">
            <w:pPr>
              <w:keepNext w:val="0"/>
              <w:keepLines w:val="0"/>
              <w:pageBreakBefore w:val="0"/>
              <w:kinsoku/>
              <w:wordWrap/>
              <w:overflowPunct/>
              <w:topLinePunct w:val="0"/>
              <w:autoSpaceDE/>
              <w:autoSpaceDN/>
              <w:bidi w:val="0"/>
              <w:adjustRightInd/>
              <w:snapToGrid/>
              <w:spacing w:after="120" w:line="240" w:lineRule="auto"/>
              <w:jc w:val="center"/>
              <w:textAlignment w:val="auto"/>
              <w:rPr>
                <w:rFonts w:hint="eastAsia" w:ascii="宋体" w:hAnsi="宋体" w:eastAsia="宋体" w:cs="宋体"/>
                <w:color w:val="000000" w:themeColor="text1"/>
                <w:szCs w:val="21"/>
                <w:lang w:val="en-US" w:eastAsia="zh-CN"/>
                <w14:textFill>
                  <w14:solidFill>
                    <w14:schemeClr w14:val="tx1"/>
                  </w14:solidFill>
                </w14:textFill>
              </w:rPr>
            </w:pPr>
            <w:r>
              <w:rPr>
                <w:rFonts w:hint="eastAsia" w:ascii="宋体" w:hAnsi="宋体" w:cs="宋体"/>
                <w:color w:val="000000" w:themeColor="text1"/>
                <w:szCs w:val="21"/>
                <w:lang w:val="en-US" w:eastAsia="zh-CN"/>
                <w14:textFill>
                  <w14:solidFill>
                    <w14:schemeClr w14:val="tx1"/>
                  </w14:solidFill>
                </w14:textFill>
              </w:rPr>
              <w:t>双</w:t>
            </w:r>
          </w:p>
        </w:tc>
        <w:tc>
          <w:tcPr>
            <w:tcW w:w="2116" w:type="dxa"/>
            <w:gridSpan w:val="2"/>
            <w:tcBorders>
              <w:tl2br w:val="nil"/>
              <w:tr2bl w:val="nil"/>
            </w:tcBorders>
            <w:noWrap w:val="0"/>
            <w:vAlign w:val="center"/>
          </w:tcPr>
          <w:p w14:paraId="44EFCB0D">
            <w:pPr>
              <w:autoSpaceDE w:val="0"/>
              <w:autoSpaceDN w:val="0"/>
              <w:adjustRightInd w:val="0"/>
              <w:spacing w:line="360" w:lineRule="auto"/>
              <w:jc w:val="center"/>
              <w:rPr>
                <w:rFonts w:hint="eastAsia" w:ascii="宋体" w:hAnsi="宋体" w:cs="宋体"/>
                <w:color w:val="000000" w:themeColor="text1"/>
                <w:szCs w:val="21"/>
                <w:lang w:val="zh-CN" w:eastAsia="zh-CN"/>
                <w14:textFill>
                  <w14:solidFill>
                    <w14:schemeClr w14:val="tx1"/>
                  </w14:solidFill>
                </w14:textFill>
              </w:rPr>
            </w:pPr>
            <w:r>
              <w:rPr>
                <w:rFonts w:hint="eastAsia" w:ascii="宋体" w:hAnsi="宋体" w:cs="宋体"/>
                <w:color w:val="000000" w:themeColor="text1"/>
                <w:szCs w:val="21"/>
                <w:lang w:val="zh-CN" w:eastAsia="zh-CN"/>
                <w14:textFill>
                  <w14:solidFill>
                    <w14:schemeClr w14:val="tx1"/>
                  </w14:solidFill>
                </w14:textFill>
              </w:rPr>
              <w:t>事故柜</w:t>
            </w:r>
          </w:p>
        </w:tc>
        <w:tc>
          <w:tcPr>
            <w:tcW w:w="1940" w:type="dxa"/>
            <w:tcBorders>
              <w:tl2br w:val="nil"/>
              <w:tr2bl w:val="nil"/>
            </w:tcBorders>
            <w:noWrap w:val="0"/>
            <w:vAlign w:val="center"/>
          </w:tcPr>
          <w:p w14:paraId="642885BE">
            <w:pPr>
              <w:spacing w:line="240" w:lineRule="auto"/>
              <w:jc w:val="center"/>
              <w:rPr>
                <w:rFonts w:hint="default" w:ascii="宋体" w:hAnsi="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防护</w:t>
            </w:r>
          </w:p>
        </w:tc>
      </w:tr>
    </w:tbl>
    <w:p w14:paraId="42CB0455">
      <w:pPr>
        <w:pStyle w:val="32"/>
        <w:rPr>
          <w:rFonts w:hint="eastAsia"/>
          <w:color w:val="000000" w:themeColor="text1"/>
          <w14:textFill>
            <w14:solidFill>
              <w14:schemeClr w14:val="tx1"/>
            </w14:solidFill>
          </w14:textFill>
        </w:rPr>
      </w:pPr>
    </w:p>
    <w:p w14:paraId="070E86D3">
      <w:pPr>
        <w:pStyle w:val="8"/>
        <w:adjustRightInd w:val="0"/>
        <w:spacing w:before="340"/>
        <w:jc w:val="left"/>
        <w:textAlignment w:val="baseline"/>
        <w:rPr>
          <w:rFonts w:hint="eastAsia" w:ascii="宋体" w:hAnsi="宋体" w:eastAsia="宋体" w:cs="宋体"/>
          <w:color w:val="000000" w:themeColor="text1"/>
          <w:kern w:val="2"/>
          <w:sz w:val="32"/>
          <w:szCs w:val="32"/>
          <w:highlight w:val="none"/>
          <w14:textFill>
            <w14:solidFill>
              <w14:schemeClr w14:val="tx1"/>
            </w14:solidFill>
          </w14:textFill>
        </w:rPr>
      </w:pPr>
      <w:bookmarkStart w:id="143" w:name="_Toc27463"/>
      <w:bookmarkStart w:id="144" w:name="_Toc15258"/>
      <w:r>
        <w:rPr>
          <w:rFonts w:hint="eastAsia" w:ascii="宋体" w:hAnsi="宋体" w:eastAsia="宋体" w:cs="宋体"/>
          <w:color w:val="000000" w:themeColor="text1"/>
          <w:kern w:val="2"/>
          <w:sz w:val="32"/>
          <w:szCs w:val="32"/>
          <w:highlight w:val="none"/>
          <w14:textFill>
            <w14:solidFill>
              <w14:schemeClr w14:val="tx1"/>
            </w14:solidFill>
          </w14:textFill>
        </w:rPr>
        <w:t>4突发环境事件及其后果分析</w:t>
      </w:r>
      <w:bookmarkEnd w:id="143"/>
      <w:bookmarkEnd w:id="144"/>
    </w:p>
    <w:p w14:paraId="1D0E480E">
      <w:pPr>
        <w:pStyle w:val="9"/>
        <w:keepNext/>
        <w:keepLines/>
        <w:spacing w:before="260" w:beforeLines="0" w:after="260" w:afterLines="0" w:line="416" w:lineRule="auto"/>
        <w:ind w:firstLine="0" w:firstLineChars="0"/>
        <w:rPr>
          <w:rFonts w:hint="default" w:ascii="宋体" w:hAnsi="宋体" w:eastAsia="宋体" w:cs="宋体"/>
          <w:b/>
          <w:bCs/>
          <w:color w:val="000000" w:themeColor="text1"/>
          <w:kern w:val="2"/>
          <w:sz w:val="28"/>
          <w:szCs w:val="28"/>
          <w:lang w:val="en-US" w:eastAsia="zh-CN"/>
          <w14:textFill>
            <w14:solidFill>
              <w14:schemeClr w14:val="tx1"/>
            </w14:solidFill>
          </w14:textFill>
        </w:rPr>
      </w:pPr>
      <w:bookmarkStart w:id="145" w:name="_Toc24571"/>
      <w:r>
        <w:rPr>
          <w:rFonts w:hint="eastAsia" w:ascii="宋体" w:hAnsi="宋体" w:eastAsia="宋体" w:cs="宋体"/>
          <w:b/>
          <w:bCs/>
          <w:color w:val="000000" w:themeColor="text1"/>
          <w:kern w:val="2"/>
          <w:sz w:val="28"/>
          <w:szCs w:val="28"/>
          <w:lang w:val="en-US" w:eastAsia="zh-CN"/>
          <w14:textFill>
            <w14:solidFill>
              <w14:schemeClr w14:val="tx1"/>
            </w14:solidFill>
          </w14:textFill>
        </w:rPr>
        <w:t>4.1突发环境事件情景分析</w:t>
      </w:r>
      <w:bookmarkEnd w:id="145"/>
    </w:p>
    <w:p w14:paraId="4EAB5F31">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突发环境事件：是指突然发生，造成或可能造成环境污染或生态破坏，危及人民群众生命财产安全，影响社会公共秩序，需要采取紧急措施予以应对的事件。本公司自成立以来，尚未发生过突发环境事件，本报告列举家具制造企业的突发环境事件案例，以供参考：</w:t>
      </w:r>
    </w:p>
    <w:p w14:paraId="35DFFF65">
      <w:pPr>
        <w:pStyle w:val="10"/>
        <w:keepNext/>
        <w:keepLines/>
        <w:spacing w:before="140" w:beforeLines="0" w:after="140" w:afterLines="0" w:line="416" w:lineRule="auto"/>
        <w:ind w:firstLine="0" w:firstLineChars="0"/>
        <w:jc w:val="both"/>
        <w:rPr>
          <w:rFonts w:hint="default" w:ascii="宋体" w:hAnsi="宋体" w:eastAsia="宋体" w:cs="Times New Roman"/>
          <w:b/>
          <w:bCs/>
          <w:color w:val="000000" w:themeColor="text1"/>
          <w:sz w:val="28"/>
          <w:szCs w:val="28"/>
          <w:lang w:val="en-US" w:eastAsia="zh-CN"/>
          <w14:textFill>
            <w14:solidFill>
              <w14:schemeClr w14:val="tx1"/>
            </w14:solidFill>
          </w14:textFill>
        </w:rPr>
      </w:pPr>
      <w:bookmarkStart w:id="146" w:name="_Toc22853"/>
      <w:r>
        <w:rPr>
          <w:rFonts w:hint="eastAsia" w:ascii="宋体" w:hAnsi="宋体" w:eastAsia="宋体" w:cs="Times New Roman"/>
          <w:b/>
          <w:bCs/>
          <w:color w:val="000000" w:themeColor="text1"/>
          <w:sz w:val="28"/>
          <w:szCs w:val="28"/>
          <w:lang w:val="en-US" w:eastAsia="zh-CN"/>
          <w14:textFill>
            <w14:solidFill>
              <w14:schemeClr w14:val="tx1"/>
            </w14:solidFill>
          </w14:textFill>
        </w:rPr>
        <w:t>4.1.1国内外同类企业相同突发环境事件资料</w:t>
      </w:r>
      <w:bookmarkEnd w:id="146"/>
    </w:p>
    <w:p w14:paraId="77BB123F">
      <w:pPr>
        <w:ind w:firstLine="480" w:firstLineChars="200"/>
        <w:rPr>
          <w:rFonts w:hint="eastAsia" w:ascii="宋体" w:hAnsi="宋体" w:eastAsia="宋体" w:cs="宋体"/>
          <w:color w:val="000000" w:themeColor="text1"/>
          <w:kern w:val="0"/>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lang w:val="en-US" w:eastAsia="zh-CN"/>
          <w14:textFill>
            <w14:solidFill>
              <w14:schemeClr w14:val="tx1"/>
            </w14:solidFill>
          </w14:textFill>
        </w:rPr>
        <w:t>根据对近年国内</w:t>
      </w:r>
      <w:r>
        <w:rPr>
          <w:rFonts w:hint="eastAsia" w:ascii="宋体" w:hAnsi="宋体" w:cs="宋体"/>
          <w:color w:val="000000" w:themeColor="text1"/>
          <w:kern w:val="0"/>
          <w:sz w:val="24"/>
          <w:szCs w:val="24"/>
          <w:lang w:val="en-US" w:eastAsia="zh-CN"/>
          <w14:textFill>
            <w14:solidFill>
              <w14:schemeClr w14:val="tx1"/>
            </w14:solidFill>
          </w14:textFill>
        </w:rPr>
        <w:t>家具</w:t>
      </w:r>
      <w:r>
        <w:rPr>
          <w:rFonts w:hint="eastAsia" w:ascii="宋体" w:hAnsi="宋体" w:eastAsia="宋体" w:cs="宋体"/>
          <w:color w:val="000000" w:themeColor="text1"/>
          <w:kern w:val="0"/>
          <w:sz w:val="24"/>
          <w:szCs w:val="24"/>
          <w:lang w:val="en-US" w:eastAsia="zh-CN"/>
          <w14:textFill>
            <w14:solidFill>
              <w14:schemeClr w14:val="tx1"/>
            </w14:solidFill>
          </w14:textFill>
        </w:rPr>
        <w:t>生产企业风险事故的调查，国内</w:t>
      </w:r>
      <w:r>
        <w:rPr>
          <w:rFonts w:hint="eastAsia" w:ascii="宋体" w:hAnsi="宋体" w:cs="宋体"/>
          <w:color w:val="000000" w:themeColor="text1"/>
          <w:kern w:val="0"/>
          <w:sz w:val="24"/>
          <w:szCs w:val="24"/>
          <w:lang w:val="en-US" w:eastAsia="zh-CN"/>
          <w14:textFill>
            <w14:solidFill>
              <w14:schemeClr w14:val="tx1"/>
            </w14:solidFill>
          </w14:textFill>
        </w:rPr>
        <w:t>家具</w:t>
      </w:r>
      <w:r>
        <w:rPr>
          <w:rFonts w:hint="eastAsia" w:ascii="宋体" w:hAnsi="宋体" w:eastAsia="宋体" w:cs="宋体"/>
          <w:color w:val="000000" w:themeColor="text1"/>
          <w:kern w:val="0"/>
          <w:sz w:val="24"/>
          <w:szCs w:val="24"/>
          <w:lang w:val="en-US" w:eastAsia="zh-CN"/>
          <w14:textFill>
            <w14:solidFill>
              <w14:schemeClr w14:val="tx1"/>
            </w14:solidFill>
          </w14:textFill>
        </w:rPr>
        <w:t>生产企业发生过的环境事件有：</w:t>
      </w:r>
    </w:p>
    <w:p w14:paraId="51188DC2">
      <w:pPr>
        <w:pStyle w:val="32"/>
        <w:rPr>
          <w:rFonts w:hint="default" w:ascii="仿宋" w:hAnsi="仿宋" w:eastAsia="仿宋" w:cs="仿宋"/>
          <w:b/>
          <w:bCs/>
          <w:color w:val="000000" w:themeColor="text1"/>
          <w:szCs w:val="24"/>
          <w:highlight w:val="none"/>
          <w:lang w:val="en-US"/>
          <w14:textFill>
            <w14:solidFill>
              <w14:schemeClr w14:val="tx1"/>
            </w14:solidFill>
          </w14:textFill>
        </w:rPr>
      </w:pPr>
      <w:r>
        <w:rPr>
          <w:rFonts w:ascii="仿宋" w:hAnsi="仿宋" w:eastAsia="仿宋" w:cs="仿宋"/>
          <w:b/>
          <w:bCs/>
          <w:color w:val="000000" w:themeColor="text1"/>
          <w:sz w:val="24"/>
          <w:szCs w:val="24"/>
          <w:highlight w:val="none"/>
          <w14:textFill>
            <w14:solidFill>
              <w14:schemeClr w14:val="tx1"/>
            </w14:solidFill>
          </w14:textFill>
        </w:rPr>
        <w:t>案例</w:t>
      </w:r>
      <w:r>
        <w:rPr>
          <w:rFonts w:hint="eastAsia" w:ascii="仿宋" w:hAnsi="仿宋" w:eastAsia="仿宋" w:cs="仿宋"/>
          <w:b/>
          <w:bCs/>
          <w:color w:val="000000" w:themeColor="text1"/>
          <w:sz w:val="24"/>
          <w:szCs w:val="24"/>
          <w:highlight w:val="none"/>
          <w:lang w:val="en-US" w:eastAsia="zh-CN"/>
          <w14:textFill>
            <w14:solidFill>
              <w14:schemeClr w14:val="tx1"/>
            </w14:solidFill>
          </w14:textFill>
        </w:rPr>
        <w:t>一</w:t>
      </w:r>
      <w:r>
        <w:rPr>
          <w:rFonts w:ascii="仿宋" w:hAnsi="仿宋" w:eastAsia="仿宋" w:cs="仿宋"/>
          <w:b/>
          <w:bCs/>
          <w:color w:val="000000" w:themeColor="text1"/>
          <w:sz w:val="24"/>
          <w:szCs w:val="24"/>
          <w:highlight w:val="none"/>
          <w14:textFill>
            <w14:solidFill>
              <w14:schemeClr w14:val="tx1"/>
            </w14:solidFill>
          </w14:textFill>
        </w:rPr>
        <w:t>：</w:t>
      </w:r>
      <w:r>
        <w:rPr>
          <w:rFonts w:hint="eastAsia" w:ascii="仿宋" w:hAnsi="仿宋" w:eastAsia="仿宋" w:cs="仿宋"/>
          <w:b/>
          <w:bCs/>
          <w:color w:val="000000" w:themeColor="text1"/>
          <w:spacing w:val="4"/>
          <w:kern w:val="24"/>
          <w:sz w:val="24"/>
          <w:szCs w:val="24"/>
          <w:highlight w:val="none"/>
          <w:lang w:val="en-US" w:eastAsia="zh-CN" w:bidi="ar-SA"/>
          <w14:textFill>
            <w14:solidFill>
              <w14:schemeClr w14:val="tx1"/>
            </w14:solidFill>
          </w14:textFill>
        </w:rPr>
        <w:t>南京武鸣朝燕林场松香厂火灾事故</w:t>
      </w:r>
    </w:p>
    <w:p w14:paraId="16CF817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宋体"/>
          <w:color w:val="000000" w:themeColor="text1"/>
          <w:kern w:val="0"/>
          <w:sz w:val="24"/>
          <w:szCs w:val="24"/>
          <w:lang w:val="en-US" w:eastAsia="zh-CN" w:bidi="ar-SA"/>
          <w14:textFill>
            <w14:solidFill>
              <w14:schemeClr w14:val="tx1"/>
            </w14:solidFill>
          </w14:textFill>
        </w:rPr>
        <w:t>7月11日下午4时许，位于</w:t>
      </w:r>
      <w:r>
        <w:rPr>
          <w:rFonts w:hint="eastAsia" w:ascii="宋体" w:hAnsi="宋体" w:cs="宋体"/>
          <w:color w:val="000000" w:themeColor="text1"/>
          <w:kern w:val="0"/>
          <w:sz w:val="24"/>
          <w:szCs w:val="24"/>
          <w:lang w:val="en-US" w:eastAsia="zh-CN" w:bidi="ar-SA"/>
          <w14:textFill>
            <w14:solidFill>
              <w14:schemeClr w14:val="tx1"/>
            </w14:solidFill>
          </w14:textFill>
        </w:rPr>
        <w:t>南京</w:t>
      </w:r>
      <w:r>
        <w:rPr>
          <w:rFonts w:hint="eastAsia" w:ascii="宋体" w:hAnsi="宋体" w:eastAsia="宋体" w:cs="宋体"/>
          <w:color w:val="000000" w:themeColor="text1"/>
          <w:kern w:val="0"/>
          <w:sz w:val="24"/>
          <w:szCs w:val="24"/>
          <w:lang w:val="en-US" w:eastAsia="zh-CN" w:bidi="ar-SA"/>
          <w14:textFill>
            <w14:solidFill>
              <w14:schemeClr w14:val="tx1"/>
            </w14:solidFill>
          </w14:textFill>
        </w:rPr>
        <w:t>宁武路的武鸣朝燕林场松香厂发生一起火灾事故，3台电</w:t>
      </w:r>
      <w:r>
        <w:rPr>
          <w:rFonts w:hint="eastAsia" w:ascii="宋体" w:hAnsi="宋体" w:eastAsia="宋体" w:cs="仿宋"/>
          <w:color w:val="000000" w:themeColor="text1"/>
          <w:kern w:val="2"/>
          <w:sz w:val="24"/>
          <w:szCs w:val="24"/>
          <w:lang w:val="en-US" w:eastAsia="zh-CN" w:bidi="ar-SA"/>
          <w14:textFill>
            <w14:solidFill>
              <w14:schemeClr w14:val="tx1"/>
            </w14:solidFill>
          </w14:textFill>
        </w:rPr>
        <w:t>机和1条螺旋输送机被烧坏，事故未造成人员伤亡。</w:t>
      </w:r>
    </w:p>
    <w:p w14:paraId="20BDFEDC">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经初步分析，事故的直接原因是松脂池使用的抽水潜水泵不是防爆电机，在使用过程中，潜水泵上下移动，电缆线与泵体进线接口处经常摩擦，造成绝缘橡胶破损，引起短路，产生高温电火花，引燃周围松脂。</w:t>
      </w:r>
    </w:p>
    <w:p w14:paraId="075347B5">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宋体"/>
          <w:color w:val="000000" w:themeColor="text1"/>
          <w:kern w:val="0"/>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此次事故暴露出企业安全意识不强，防爆区域使用非防爆电气设备；对设备的检维修工作不到位，导致设备带病运行；对危险化学品特性认识不足，日常安全隐患排查治理不彻底，未及时</w:t>
      </w:r>
      <w:r>
        <w:rPr>
          <w:rFonts w:hint="eastAsia" w:ascii="宋体" w:hAnsi="宋体" w:eastAsia="宋体" w:cs="宋体"/>
          <w:color w:val="000000" w:themeColor="text1"/>
          <w:kern w:val="0"/>
          <w:sz w:val="24"/>
          <w:szCs w:val="24"/>
          <w:lang w:val="en-US" w:eastAsia="zh-CN" w:bidi="ar-SA"/>
          <w14:textFill>
            <w14:solidFill>
              <w14:schemeClr w14:val="tx1"/>
            </w14:solidFill>
          </w14:textFill>
        </w:rPr>
        <w:t>清理松脂池周边粘有的大量松脂，造成火势蔓延迅速。</w:t>
      </w:r>
    </w:p>
    <w:p w14:paraId="75DE098A">
      <w:pPr>
        <w:pStyle w:val="32"/>
        <w:rPr>
          <w:rFonts w:ascii="仿宋" w:hAnsi="仿宋" w:eastAsia="仿宋" w:cs="仿宋"/>
          <w:b/>
          <w:bCs/>
          <w:color w:val="000000" w:themeColor="text1"/>
          <w:sz w:val="24"/>
          <w:szCs w:val="24"/>
          <w:highlight w:val="none"/>
          <w14:textFill>
            <w14:solidFill>
              <w14:schemeClr w14:val="tx1"/>
            </w14:solidFill>
          </w14:textFill>
        </w:rPr>
      </w:pPr>
    </w:p>
    <w:p w14:paraId="1FE2FD20">
      <w:pPr>
        <w:pStyle w:val="32"/>
        <w:rPr>
          <w:rFonts w:hint="default" w:ascii="仿宋" w:hAnsi="仿宋" w:eastAsia="仿宋" w:cs="仿宋"/>
          <w:b/>
          <w:bCs/>
          <w:color w:val="000000" w:themeColor="text1"/>
          <w:szCs w:val="24"/>
          <w:highlight w:val="none"/>
          <w:lang w:val="en-US"/>
          <w14:textFill>
            <w14:solidFill>
              <w14:schemeClr w14:val="tx1"/>
            </w14:solidFill>
          </w14:textFill>
        </w:rPr>
      </w:pPr>
      <w:r>
        <w:rPr>
          <w:rFonts w:ascii="仿宋" w:hAnsi="仿宋" w:eastAsia="仿宋" w:cs="仿宋"/>
          <w:b/>
          <w:bCs/>
          <w:color w:val="000000" w:themeColor="text1"/>
          <w:sz w:val="24"/>
          <w:szCs w:val="24"/>
          <w:highlight w:val="none"/>
          <w14:textFill>
            <w14:solidFill>
              <w14:schemeClr w14:val="tx1"/>
            </w14:solidFill>
          </w14:textFill>
        </w:rPr>
        <w:t>案例</w:t>
      </w:r>
      <w:r>
        <w:rPr>
          <w:rFonts w:hint="eastAsia" w:ascii="仿宋" w:hAnsi="仿宋" w:eastAsia="仿宋" w:cs="仿宋"/>
          <w:b/>
          <w:bCs/>
          <w:color w:val="000000" w:themeColor="text1"/>
          <w:sz w:val="24"/>
          <w:szCs w:val="24"/>
          <w:highlight w:val="none"/>
          <w:lang w:eastAsia="zh-CN"/>
          <w14:textFill>
            <w14:solidFill>
              <w14:schemeClr w14:val="tx1"/>
            </w14:solidFill>
          </w14:textFill>
        </w:rPr>
        <w:t>二</w:t>
      </w:r>
      <w:r>
        <w:rPr>
          <w:rFonts w:ascii="仿宋" w:hAnsi="仿宋" w:eastAsia="仿宋" w:cs="仿宋"/>
          <w:b/>
          <w:bCs/>
          <w:color w:val="000000" w:themeColor="text1"/>
          <w:sz w:val="24"/>
          <w:szCs w:val="24"/>
          <w:highlight w:val="none"/>
          <w14:textFill>
            <w14:solidFill>
              <w14:schemeClr w14:val="tx1"/>
            </w14:solidFill>
          </w14:textFill>
        </w:rPr>
        <w:t>：</w:t>
      </w:r>
      <w:r>
        <w:rPr>
          <w:rFonts w:hint="eastAsia" w:ascii="仿宋" w:hAnsi="仿宋" w:eastAsia="仿宋" w:cs="仿宋"/>
          <w:b/>
          <w:bCs/>
          <w:color w:val="000000" w:themeColor="text1"/>
          <w:sz w:val="24"/>
          <w:szCs w:val="24"/>
          <w:highlight w:val="none"/>
          <w:lang w:val="en-US" w:eastAsia="zh-CN"/>
          <w14:textFill>
            <w14:solidFill>
              <w14:schemeClr w14:val="tx1"/>
            </w14:solidFill>
          </w14:textFill>
        </w:rPr>
        <w:t>灵川大圩松香厂发生火灾事故</w:t>
      </w:r>
    </w:p>
    <w:p w14:paraId="68C7003C">
      <w:pPr>
        <w:pStyle w:val="32"/>
        <w:rPr>
          <w:rFonts w:hint="eastAsia" w:ascii="宋体" w:hAnsi="宋体" w:eastAsia="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2006年10月3日</w:t>
      </w:r>
      <w:r>
        <w:rPr>
          <w:rFonts w:hint="eastAsia" w:ascii="宋体" w:hAnsi="宋体" w:eastAsia="宋体" w:cs="仿宋"/>
          <w:color w:val="000000" w:themeColor="text1"/>
          <w:spacing w:val="0"/>
          <w:kern w:val="2"/>
          <w:sz w:val="24"/>
          <w:szCs w:val="24"/>
          <w:lang w:val="en-US" w:eastAsia="zh-CN" w:bidi="ar-SA"/>
          <w14:textFill>
            <w14:solidFill>
              <w14:schemeClr w14:val="tx1"/>
            </w14:solidFill>
          </w14:textFill>
        </w:rPr>
        <w:t>灵川大圩松香厂松脂原料池起火，大火燃烧了将近3个小时后被消防部门成功扑灭。据悉，松香厂在没有经过消防部门审核的情况下擅自开工。经过初步了解，事故原因是松香厂工人在烧炼油锅炉时，火星从烟囱里飞进原料池引发了大火。事故没有造成人员伤亡。</w:t>
      </w:r>
    </w:p>
    <w:p w14:paraId="0B2C33DA">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当日中午12时，记者接到报料赶往现场。在经过桂磨公路时，就能清晰的看到大圩镇方向飘起一条“黑龙”。到达火场时，松香厂的原料池正处于猛烈燃烧阶段，大火形成一朵黑色蘑菇烟云。桂林消防支队两位副支队长、参谋长都赶到现场指挥，灵川、东江、瓦窑等五个消防中队的60多名消防官兵现场展开扑救工作。</w:t>
      </w:r>
    </w:p>
    <w:p w14:paraId="0A337BCA">
      <w:pPr>
        <w:pStyle w:val="32"/>
        <w:rPr>
          <w:rFonts w:hint="default" w:ascii="宋体" w:hAnsi="宋体" w:eastAsia="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松香厂建在高地，而且民房与火场最近的距离仅仅5米。厂内不仅有上百桶装满松节油的油桶，还有一个巨型油罐，里面装满了约十吨松节油。</w:t>
      </w:r>
    </w:p>
    <w:p w14:paraId="181FC8BF">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由于松香厂一带没有消防水源，给扑救工作带来很大困难。在扑救过程中，不断有居民走进警戒线，一些工厂工人看到火势很大，为防止大火蔓延到一旁房子，居然爬上离火焰不到3米的屋顶掀瓦。这些举动也在一定程度上影响到了消防官兵的扑救工作。</w:t>
      </w:r>
    </w:p>
    <w:p w14:paraId="0200F147">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消防官兵紧急多处寻找水源，同时通过冷却原料池墙体防止崩塌。中午1时50分，原料池墙体出现裂痕。中午2时，风向发生变化，浓烟和火苗突突的冲向作战官兵。几分钟后，原料池一侧的墙体猛然倒塌，火势飞速向外流窜。泡沫立即覆盖火体，隔绝空气。2时20分左右，火苗已经基本熄灭，消防官兵立即出水降低原料池池壁及锅炉房的温度。2时30分，扑救工作胜利结束。</w:t>
      </w:r>
    </w:p>
    <w:p w14:paraId="6C85CD6D">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据悉，这家松香厂的老板是浙江人，在没有经过消防部门审核的情况下，就于今年6月份擅自开工生产。3日上午，工厂老板在原料池内投放了2吨松脂原料。</w:t>
      </w:r>
    </w:p>
    <w:p w14:paraId="553C0EE7">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消防部门表示，从火灾现场看来，工厂没有消防安全意识，也没有相应的消防设备。在没有到达安全生产条件的情况下擅自开工生产，隐患变成了事故。最终给自己带来严重损失。消防部门同时提醒市民，不要进入火灾救援现场，影响救援工作。</w:t>
      </w:r>
    </w:p>
    <w:p w14:paraId="6BE9FD5D">
      <w:pPr>
        <w:keepNext w:val="0"/>
        <w:keepLines w:val="0"/>
        <w:pageBreakBefore w:val="0"/>
        <w:widowControl w:val="0"/>
        <w:kinsoku/>
        <w:wordWrap/>
        <w:overflowPunct/>
        <w:topLinePunct w:val="0"/>
        <w:autoSpaceDE/>
        <w:autoSpaceDN/>
        <w:bidi w:val="0"/>
        <w:adjustRightInd/>
        <w:snapToGrid/>
        <w:spacing w:line="360" w:lineRule="auto"/>
        <w:ind w:firstLine="482"/>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p>
    <w:p w14:paraId="6EF5BCF8">
      <w:pPr>
        <w:pStyle w:val="32"/>
        <w:rPr>
          <w:rFonts w:hint="eastAsia" w:ascii="仿宋" w:hAnsi="仿宋" w:eastAsia="仿宋" w:cs="仿宋"/>
          <w:b/>
          <w:bCs/>
          <w:color w:val="000000" w:themeColor="text1"/>
          <w:sz w:val="24"/>
          <w:szCs w:val="24"/>
          <w:highlight w:val="none"/>
          <w:lang w:eastAsia="zh-CN"/>
          <w14:textFill>
            <w14:solidFill>
              <w14:schemeClr w14:val="tx1"/>
            </w14:solidFill>
          </w14:textFill>
        </w:rPr>
      </w:pPr>
    </w:p>
    <w:p w14:paraId="31EBE207">
      <w:pPr>
        <w:pStyle w:val="32"/>
        <w:rPr>
          <w:rFonts w:hint="eastAsia" w:ascii="仿宋" w:hAnsi="仿宋" w:eastAsia="仿宋" w:cs="仿宋"/>
          <w:b/>
          <w:bCs/>
          <w:color w:val="000000" w:themeColor="text1"/>
          <w:sz w:val="24"/>
          <w:szCs w:val="24"/>
          <w:highlight w:val="none"/>
          <w:lang w:val="en-US" w:eastAsia="zh-CN"/>
          <w14:textFill>
            <w14:solidFill>
              <w14:schemeClr w14:val="tx1"/>
            </w14:solidFill>
          </w14:textFill>
        </w:rPr>
      </w:pPr>
      <w:r>
        <w:rPr>
          <w:rFonts w:hint="eastAsia" w:ascii="仿宋" w:hAnsi="仿宋" w:eastAsia="仿宋" w:cs="仿宋"/>
          <w:b/>
          <w:bCs/>
          <w:color w:val="000000" w:themeColor="text1"/>
          <w:sz w:val="24"/>
          <w:szCs w:val="24"/>
          <w:highlight w:val="none"/>
          <w:lang w:eastAsia="zh-CN"/>
          <w14:textFill>
            <w14:solidFill>
              <w14:schemeClr w14:val="tx1"/>
            </w14:solidFill>
          </w14:textFill>
        </w:rPr>
        <w:t>案例三：</w:t>
      </w:r>
      <w:r>
        <w:rPr>
          <w:rFonts w:ascii="仿宋" w:hAnsi="仿宋" w:eastAsia="仿宋" w:cs="仿宋"/>
          <w:b/>
          <w:bCs/>
          <w:color w:val="000000" w:themeColor="text1"/>
          <w:sz w:val="24"/>
          <w:szCs w:val="24"/>
          <w:highlight w:val="none"/>
          <w14:textFill>
            <w14:solidFill>
              <w14:schemeClr w14:val="tx1"/>
            </w14:solidFill>
          </w14:textFill>
        </w:rPr>
        <w:t>济南源群家具厂火灾事故</w:t>
      </w:r>
    </w:p>
    <w:p w14:paraId="466BB43E">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12月11日上午，田东县松香厂车间发生火灾，120多吨松脂和约３吨的松油着火。</w:t>
      </w:r>
    </w:p>
    <w:p w14:paraId="7D9FB649">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11日上午11时50分，田东县松香厂的某车间突然失火。厂内的松脂、松油着火，松节油起火后发生爆燃，火焰熊熊燃烧，整个车间陷入一片火海。中午12时15分，119接到报警，田东县消防大队、田阳县专职消防队、广西石化总厂消防队等４个单位共出动５辆消防车，40多名</w:t>
      </w:r>
      <w:bookmarkStart w:id="237" w:name="_GoBack"/>
      <w:r>
        <w:rPr>
          <w:rFonts w:hint="eastAsia" w:ascii="宋体" w:hAnsi="宋体" w:cs="仿宋"/>
          <w:color w:val="000000" w:themeColor="text1"/>
          <w:spacing w:val="0"/>
          <w:kern w:val="2"/>
          <w:sz w:val="24"/>
          <w:szCs w:val="24"/>
          <w:lang w:val="en-US" w:eastAsia="zh-CN" w:bidi="ar-SA"/>
          <w14:textFill>
            <w14:solidFill>
              <w14:schemeClr w14:val="tx1"/>
            </w14:solidFill>
          </w14:textFill>
        </w:rPr>
        <w:t>消防人员赶到现场。</w:t>
      </w:r>
    </w:p>
    <w:p w14:paraId="2CEA594A">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r>
        <w:rPr>
          <w:rFonts w:hint="eastAsia" w:ascii="宋体" w:hAnsi="宋体" w:cs="仿宋"/>
          <w:color w:val="000000" w:themeColor="text1"/>
          <w:spacing w:val="0"/>
          <w:kern w:val="2"/>
          <w:sz w:val="24"/>
          <w:szCs w:val="24"/>
          <w:lang w:val="en-US" w:eastAsia="zh-CN" w:bidi="ar-SA"/>
          <w14:textFill>
            <w14:solidFill>
              <w14:schemeClr w14:val="tx1"/>
            </w14:solidFill>
          </w14:textFill>
        </w:rPr>
        <w:t>大火烧了4个多小时，两个车间厂房以及其中的设备和原料被付之一炬，并造成一名女工失踪，一名男工轻伤。因企业松脂和松油管理储存不当，造成火灾事故。</w:t>
      </w:r>
    </w:p>
    <w:p w14:paraId="5519A8ED">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p>
    <w:p w14:paraId="7E14FD38">
      <w:pPr>
        <w:pStyle w:val="32"/>
        <w:rPr>
          <w:rFonts w:hint="eastAsia" w:ascii="宋体" w:hAnsi="宋体" w:cs="仿宋"/>
          <w:color w:val="000000" w:themeColor="text1"/>
          <w:spacing w:val="0"/>
          <w:kern w:val="2"/>
          <w:sz w:val="24"/>
          <w:szCs w:val="24"/>
          <w:lang w:val="en-US" w:eastAsia="zh-CN" w:bidi="ar-SA"/>
          <w14:textFill>
            <w14:solidFill>
              <w14:schemeClr w14:val="tx1"/>
            </w14:solidFill>
          </w14:textFill>
        </w:rPr>
      </w:pPr>
    </w:p>
    <w:p w14:paraId="266AA705">
      <w:pPr>
        <w:pStyle w:val="32"/>
        <w:rPr>
          <w:rFonts w:hint="default" w:ascii="宋体" w:hAnsi="宋体" w:cs="仿宋"/>
          <w:color w:val="000000" w:themeColor="text1"/>
          <w:spacing w:val="0"/>
          <w:kern w:val="2"/>
          <w:sz w:val="24"/>
          <w:szCs w:val="24"/>
          <w:lang w:val="en-US" w:eastAsia="zh-CN" w:bidi="ar-SA"/>
          <w14:textFill>
            <w14:solidFill>
              <w14:schemeClr w14:val="tx1"/>
            </w14:solidFill>
          </w14:textFill>
        </w:rPr>
      </w:pPr>
    </w:p>
    <w:p w14:paraId="0D661DA0">
      <w:pPr>
        <w:pStyle w:val="10"/>
        <w:keepNext/>
        <w:keepLines/>
        <w:spacing w:before="140" w:beforeLines="0" w:after="140" w:afterLines="0" w:line="416" w:lineRule="auto"/>
        <w:ind w:firstLine="0" w:firstLineChars="0"/>
        <w:jc w:val="both"/>
        <w:rPr>
          <w:rFonts w:hint="default" w:ascii="宋体" w:hAnsi="宋体" w:cs="仿宋"/>
          <w:color w:val="000000" w:themeColor="text1"/>
          <w:spacing w:val="0"/>
          <w:kern w:val="2"/>
          <w:sz w:val="24"/>
          <w:szCs w:val="24"/>
          <w:lang w:val="en-US" w:eastAsia="zh-CN" w:bidi="ar-SA"/>
          <w14:textFill>
            <w14:solidFill>
              <w14:schemeClr w14:val="tx1"/>
            </w14:solidFill>
          </w14:textFill>
        </w:rPr>
      </w:pPr>
      <w:bookmarkStart w:id="147" w:name="_Toc21218"/>
      <w:r>
        <w:rPr>
          <w:rFonts w:hint="eastAsia" w:ascii="宋体" w:hAnsi="宋体" w:eastAsia="宋体" w:cs="Times New Roman"/>
          <w:b/>
          <w:bCs/>
          <w:color w:val="000000" w:themeColor="text1"/>
          <w:sz w:val="28"/>
          <w:szCs w:val="28"/>
          <w:lang w:val="en-US" w:eastAsia="zh-CN"/>
          <w14:textFill>
            <w14:solidFill>
              <w14:schemeClr w14:val="tx1"/>
            </w14:solidFill>
          </w14:textFill>
        </w:rPr>
        <w:t>4.1.2</w:t>
      </w:r>
      <w:r>
        <w:rPr>
          <w:rFonts w:hint="eastAsia" w:ascii="宋体" w:hAnsi="宋体" w:eastAsia="宋体" w:cs="宋体"/>
          <w:b/>
          <w:bCs/>
          <w:color w:val="000000" w:themeColor="text1"/>
          <w:sz w:val="28"/>
          <w:szCs w:val="28"/>
          <w:highlight w:val="none"/>
          <w14:textFill>
            <w14:solidFill>
              <w14:schemeClr w14:val="tx1"/>
            </w14:solidFill>
          </w14:textFill>
        </w:rPr>
        <w:t>本企业可能发生的突发环境事件情景分析</w:t>
      </w:r>
      <w:bookmarkEnd w:id="147"/>
    </w:p>
    <w:p w14:paraId="71599018">
      <w:pPr>
        <w:pStyle w:val="41"/>
        <w:spacing w:line="240" w:lineRule="auto"/>
        <w:ind w:firstLine="480"/>
        <w:rPr>
          <w:rFonts w:hint="eastAsia" w:ascii="宋体" w:hAnsi="宋体" w:eastAsia="宋体" w:cs="宋体"/>
          <w:b w:val="0"/>
          <w:bCs/>
          <w:color w:val="000000" w:themeColor="text1"/>
          <w:highlight w:val="none"/>
          <w14:textFill>
            <w14:solidFill>
              <w14:schemeClr w14:val="tx1"/>
            </w14:solidFill>
          </w14:textFill>
        </w:rPr>
      </w:pPr>
      <w:r>
        <w:rPr>
          <w:rFonts w:hint="eastAsia" w:ascii="宋体" w:hAnsi="宋体" w:eastAsia="宋体" w:cs="宋体"/>
          <w:b w:val="0"/>
          <w:bCs/>
          <w:color w:val="000000" w:themeColor="text1"/>
          <w:highlight w:val="none"/>
          <w14:textFill>
            <w14:solidFill>
              <w14:schemeClr w14:val="tx1"/>
            </w14:solidFill>
          </w14:textFill>
        </w:rPr>
        <w:t>表4-1本</w:t>
      </w:r>
      <w:r>
        <w:rPr>
          <w:rFonts w:hint="eastAsia" w:ascii="宋体" w:hAnsi="宋体" w:eastAsia="宋体" w:cs="宋体"/>
          <w:b w:val="0"/>
          <w:bCs/>
          <w:color w:val="000000" w:themeColor="text1"/>
          <w:highlight w:val="none"/>
          <w:lang w:val="en-US" w:eastAsia="zh-CN"/>
          <w14:textFill>
            <w14:solidFill>
              <w14:schemeClr w14:val="tx1"/>
            </w14:solidFill>
          </w14:textFill>
        </w:rPr>
        <w:t>企业</w:t>
      </w:r>
      <w:r>
        <w:rPr>
          <w:rFonts w:hint="eastAsia" w:ascii="宋体" w:hAnsi="宋体" w:eastAsia="宋体" w:cs="宋体"/>
          <w:b w:val="0"/>
          <w:bCs/>
          <w:color w:val="000000" w:themeColor="text1"/>
          <w:highlight w:val="none"/>
          <w14:textFill>
            <w14:solidFill>
              <w14:schemeClr w14:val="tx1"/>
            </w14:solidFill>
          </w14:textFill>
        </w:rPr>
        <w:t>可能发生的突发环境事件情景分析</w:t>
      </w:r>
    </w:p>
    <w:tbl>
      <w:tblPr>
        <w:tblStyle w:val="23"/>
        <w:tblW w:w="90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574"/>
        <w:gridCol w:w="1606"/>
        <w:gridCol w:w="6891"/>
      </w:tblGrid>
      <w:tr w14:paraId="16213BD6">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2" w:hRule="atLeast"/>
          <w:jc w:val="center"/>
        </w:trPr>
        <w:tc>
          <w:tcPr>
            <w:tcW w:w="553" w:type="dxa"/>
            <w:tcBorders>
              <w:tl2br w:val="nil"/>
              <w:tr2bl w:val="nil"/>
            </w:tcBorders>
            <w:noWrap w:val="0"/>
            <w:vAlign w:val="center"/>
          </w:tcPr>
          <w:p w14:paraId="3176DFA5">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序号</w:t>
            </w:r>
          </w:p>
        </w:tc>
        <w:tc>
          <w:tcPr>
            <w:tcW w:w="1546" w:type="dxa"/>
            <w:tcBorders>
              <w:tl2br w:val="nil"/>
              <w:tr2bl w:val="nil"/>
            </w:tcBorders>
            <w:noWrap w:val="0"/>
            <w:vAlign w:val="center"/>
          </w:tcPr>
          <w:p w14:paraId="731145EF">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突发环境类别</w:t>
            </w:r>
          </w:p>
        </w:tc>
        <w:tc>
          <w:tcPr>
            <w:tcW w:w="6633" w:type="dxa"/>
            <w:tcBorders>
              <w:tl2br w:val="nil"/>
              <w:tr2bl w:val="nil"/>
            </w:tcBorders>
            <w:noWrap w:val="0"/>
            <w:vAlign w:val="center"/>
          </w:tcPr>
          <w:p w14:paraId="291E77BA">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事件引发或次生突发环境事件的最坏情景</w:t>
            </w:r>
          </w:p>
        </w:tc>
      </w:tr>
      <w:tr w14:paraId="488F0F2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305" w:hRule="atLeast"/>
          <w:jc w:val="center"/>
        </w:trPr>
        <w:tc>
          <w:tcPr>
            <w:tcW w:w="553" w:type="dxa"/>
            <w:tcBorders>
              <w:tl2br w:val="nil"/>
              <w:tr2bl w:val="nil"/>
            </w:tcBorders>
            <w:noWrap w:val="0"/>
            <w:vAlign w:val="center"/>
          </w:tcPr>
          <w:p w14:paraId="5EC0E5C6">
            <w:pPr>
              <w:spacing w:line="24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1</w:t>
            </w:r>
          </w:p>
        </w:tc>
        <w:tc>
          <w:tcPr>
            <w:tcW w:w="1546" w:type="dxa"/>
            <w:tcBorders>
              <w:tl2br w:val="nil"/>
              <w:tr2bl w:val="nil"/>
            </w:tcBorders>
            <w:noWrap w:val="0"/>
            <w:vAlign w:val="center"/>
          </w:tcPr>
          <w:p w14:paraId="3ECCE9BC">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火灾、爆炸事件引发厂外环境污染</w:t>
            </w:r>
          </w:p>
        </w:tc>
        <w:tc>
          <w:tcPr>
            <w:tcW w:w="6633" w:type="dxa"/>
            <w:tcBorders>
              <w:tl2br w:val="nil"/>
              <w:tr2bl w:val="nil"/>
            </w:tcBorders>
            <w:noWrap w:val="0"/>
            <w:vAlign w:val="center"/>
          </w:tcPr>
          <w:p w14:paraId="35B52ED5">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本厂</w:t>
            </w:r>
            <w:r>
              <w:rPr>
                <w:rFonts w:hint="eastAsia" w:ascii="宋体" w:hAnsi="宋体" w:cs="宋体"/>
                <w:color w:val="000000" w:themeColor="text1"/>
                <w:sz w:val="21"/>
                <w:szCs w:val="21"/>
                <w:highlight w:val="none"/>
                <w:lang w:val="en-US" w:eastAsia="zh-CN"/>
                <w14:textFill>
                  <w14:solidFill>
                    <w14:schemeClr w14:val="tx1"/>
                  </w14:solidFill>
                </w14:textFill>
              </w:rPr>
              <w:t>原料仓库</w:t>
            </w:r>
            <w:r>
              <w:rPr>
                <w:rFonts w:hint="eastAsia" w:ascii="宋体" w:hAnsi="宋体" w:eastAsia="宋体" w:cs="宋体"/>
                <w:color w:val="000000" w:themeColor="text1"/>
                <w:sz w:val="21"/>
                <w:szCs w:val="21"/>
                <w:highlight w:val="none"/>
                <w:lang w:eastAsia="zh-CN"/>
                <w14:textFill>
                  <w14:solidFill>
                    <w14:schemeClr w14:val="tx1"/>
                  </w14:solidFill>
                </w14:textFill>
              </w:rPr>
              <w:t>、</w:t>
            </w:r>
            <w:r>
              <w:rPr>
                <w:rFonts w:hint="eastAsia" w:ascii="宋体" w:hAnsi="宋体" w:cs="宋体"/>
                <w:color w:val="000000" w:themeColor="text1"/>
                <w:sz w:val="21"/>
                <w:szCs w:val="21"/>
                <w:highlight w:val="none"/>
                <w:lang w:val="en-US" w:eastAsia="zh-CN"/>
                <w14:textFill>
                  <w14:solidFill>
                    <w14:schemeClr w14:val="tx1"/>
                  </w14:solidFill>
                </w14:textFill>
              </w:rPr>
              <w:t>成品仓库</w:t>
            </w:r>
            <w:r>
              <w:rPr>
                <w:rFonts w:hint="eastAsia" w:ascii="宋体" w:hAnsi="宋体" w:eastAsia="宋体" w:cs="宋体"/>
                <w:color w:val="000000" w:themeColor="text1"/>
                <w:sz w:val="21"/>
                <w:szCs w:val="21"/>
                <w:highlight w:val="none"/>
                <w14:textFill>
                  <w14:solidFill>
                    <w14:schemeClr w14:val="tx1"/>
                  </w14:solidFill>
                </w14:textFill>
              </w:rPr>
              <w:t>、</w:t>
            </w:r>
            <w:r>
              <w:rPr>
                <w:rFonts w:hint="eastAsia" w:ascii="宋体" w:hAnsi="宋体" w:cs="宋体"/>
                <w:color w:val="000000" w:themeColor="text1"/>
                <w:sz w:val="21"/>
                <w:szCs w:val="21"/>
                <w:highlight w:val="none"/>
                <w:lang w:val="en-US" w:eastAsia="zh-CN"/>
                <w14:textFill>
                  <w14:solidFill>
                    <w14:schemeClr w14:val="tx1"/>
                  </w14:solidFill>
                </w14:textFill>
              </w:rPr>
              <w:t>锅炉房</w:t>
            </w:r>
            <w:r>
              <w:rPr>
                <w:rFonts w:hint="eastAsia" w:ascii="宋体" w:hAnsi="宋体" w:eastAsia="宋体" w:cs="宋体"/>
                <w:color w:val="000000" w:themeColor="text1"/>
                <w:sz w:val="21"/>
                <w:szCs w:val="21"/>
                <w:highlight w:val="none"/>
                <w14:textFill>
                  <w14:solidFill>
                    <w14:schemeClr w14:val="tx1"/>
                  </w14:solidFill>
                </w14:textFill>
              </w:rPr>
              <w:t>、</w:t>
            </w:r>
            <w:r>
              <w:rPr>
                <w:rFonts w:hint="eastAsia" w:ascii="宋体" w:hAnsi="宋体" w:cs="宋体"/>
                <w:color w:val="000000" w:themeColor="text1"/>
                <w:sz w:val="21"/>
                <w:szCs w:val="21"/>
                <w:highlight w:val="none"/>
                <w:lang w:val="en-US" w:eastAsia="zh-CN"/>
                <w14:textFill>
                  <w14:solidFill>
                    <w14:schemeClr w14:val="tx1"/>
                  </w14:solidFill>
                </w14:textFill>
              </w:rPr>
              <w:t>燃料堆放区</w:t>
            </w:r>
            <w:r>
              <w:rPr>
                <w:rFonts w:hint="eastAsia" w:ascii="宋体" w:hAnsi="宋体" w:eastAsia="宋体" w:cs="宋体"/>
                <w:color w:val="000000" w:themeColor="text1"/>
                <w:sz w:val="21"/>
                <w:szCs w:val="21"/>
                <w:highlight w:val="none"/>
                <w14:textFill>
                  <w14:solidFill>
                    <w14:schemeClr w14:val="tx1"/>
                  </w14:solidFill>
                </w14:textFill>
              </w:rPr>
              <w:t>、</w:t>
            </w:r>
            <w:r>
              <w:rPr>
                <w:color w:val="000000" w:themeColor="text1"/>
                <w:kern w:val="0"/>
                <w:szCs w:val="21"/>
                <w14:textFill>
                  <w14:solidFill>
                    <w14:schemeClr w14:val="tx1"/>
                  </w14:solidFill>
                </w14:textFill>
              </w:rPr>
              <w:t>松节油重油储罐区</w:t>
            </w:r>
            <w:r>
              <w:rPr>
                <w:rFonts w:hint="eastAsia"/>
                <w:color w:val="000000" w:themeColor="text1"/>
                <w:kern w:val="0"/>
                <w:szCs w:val="21"/>
                <w:lang w:eastAsia="zh-CN"/>
                <w14:textFill>
                  <w14:solidFill>
                    <w14:schemeClr w14:val="tx1"/>
                  </w14:solidFill>
                </w14:textFill>
              </w:rPr>
              <w:t>，</w:t>
            </w:r>
            <w:r>
              <w:rPr>
                <w:rFonts w:hint="eastAsia" w:ascii="宋体" w:hAnsi="宋体" w:eastAsia="宋体" w:cs="宋体"/>
                <w:color w:val="000000" w:themeColor="text1"/>
                <w:sz w:val="21"/>
                <w:szCs w:val="21"/>
                <w:highlight w:val="none"/>
                <w14:textFill>
                  <w14:solidFill>
                    <w14:schemeClr w14:val="tx1"/>
                  </w14:solidFill>
                </w14:textFill>
              </w:rPr>
              <w:t>厂区配电线路等均有可能发生火灾爆炸事件，此类事件不仅会产生有毒气体排放，还会伴生危险化学品泄漏及次生大量的消防</w:t>
            </w:r>
            <w:r>
              <w:rPr>
                <w:rFonts w:hint="eastAsia" w:ascii="宋体" w:hAnsi="宋体" w:eastAsia="宋体" w:cs="宋体"/>
                <w:color w:val="000000" w:themeColor="text1"/>
                <w:sz w:val="21"/>
                <w:szCs w:val="21"/>
                <w:highlight w:val="none"/>
                <w:lang w:val="en-US" w:eastAsia="zh-CN"/>
                <w14:textFill>
                  <w14:solidFill>
                    <w14:schemeClr w14:val="tx1"/>
                  </w14:solidFill>
                </w14:textFill>
              </w:rPr>
              <w:t>废水</w:t>
            </w:r>
            <w:r>
              <w:rPr>
                <w:rFonts w:hint="eastAsia" w:ascii="宋体" w:hAnsi="宋体" w:eastAsia="宋体" w:cs="宋体"/>
                <w:color w:val="000000" w:themeColor="text1"/>
                <w:sz w:val="21"/>
                <w:szCs w:val="21"/>
                <w:highlight w:val="none"/>
                <w14:textFill>
                  <w14:solidFill>
                    <w14:schemeClr w14:val="tx1"/>
                  </w14:solidFill>
                </w14:textFill>
              </w:rPr>
              <w:t>。</w:t>
            </w:r>
          </w:p>
        </w:tc>
      </w:tr>
      <w:tr w14:paraId="641165AE">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553" w:type="dxa"/>
            <w:tcBorders>
              <w:tl2br w:val="nil"/>
              <w:tr2bl w:val="nil"/>
            </w:tcBorders>
            <w:noWrap w:val="0"/>
            <w:vAlign w:val="center"/>
          </w:tcPr>
          <w:p w14:paraId="6058A845">
            <w:pPr>
              <w:spacing w:line="24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2</w:t>
            </w:r>
          </w:p>
        </w:tc>
        <w:tc>
          <w:tcPr>
            <w:tcW w:w="1546" w:type="dxa"/>
            <w:tcBorders>
              <w:tl2br w:val="nil"/>
              <w:tr2bl w:val="nil"/>
            </w:tcBorders>
            <w:noWrap w:val="0"/>
            <w:vAlign w:val="center"/>
          </w:tcPr>
          <w:p w14:paraId="19760509">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危险化学品泄漏</w:t>
            </w:r>
          </w:p>
        </w:tc>
        <w:tc>
          <w:tcPr>
            <w:tcW w:w="6633" w:type="dxa"/>
            <w:tcBorders>
              <w:tl2br w:val="nil"/>
              <w:tr2bl w:val="nil"/>
            </w:tcBorders>
            <w:noWrap w:val="0"/>
            <w:vAlign w:val="center"/>
          </w:tcPr>
          <w:p w14:paraId="1EFA1EEC">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本厂若</w:t>
            </w:r>
            <w:r>
              <w:rPr>
                <w:rFonts w:hint="eastAsia" w:ascii="宋体" w:hAnsi="宋体" w:eastAsia="宋体" w:cs="宋体"/>
                <w:color w:val="000000" w:themeColor="text1"/>
                <w:sz w:val="21"/>
                <w:szCs w:val="21"/>
                <w:highlight w:val="none"/>
                <w:lang w:eastAsia="zh-CN"/>
                <w14:textFill>
                  <w14:solidFill>
                    <w14:schemeClr w14:val="tx1"/>
                  </w14:solidFill>
                </w14:textFill>
              </w:rPr>
              <w:t>机油</w:t>
            </w:r>
            <w:r>
              <w:rPr>
                <w:rFonts w:hint="eastAsia" w:ascii="宋体" w:hAnsi="宋体" w:eastAsia="宋体" w:cs="宋体"/>
                <w:color w:val="000000" w:themeColor="text1"/>
                <w:sz w:val="21"/>
                <w:szCs w:val="21"/>
                <w:highlight w:val="none"/>
                <w14:textFill>
                  <w14:solidFill>
                    <w14:schemeClr w14:val="tx1"/>
                  </w14:solidFill>
                </w14:textFill>
              </w:rPr>
              <w:t>泄漏，会造成水体</w:t>
            </w:r>
            <w:r>
              <w:rPr>
                <w:rFonts w:hint="eastAsia" w:ascii="宋体" w:hAnsi="宋体" w:eastAsia="宋体" w:cs="宋体"/>
                <w:color w:val="000000" w:themeColor="text1"/>
                <w:sz w:val="21"/>
                <w:szCs w:val="21"/>
                <w:highlight w:val="none"/>
                <w:lang w:eastAsia="zh-CN"/>
                <w14:textFill>
                  <w14:solidFill>
                    <w14:schemeClr w14:val="tx1"/>
                  </w14:solidFill>
                </w14:textFill>
              </w:rPr>
              <w:t>和地表</w:t>
            </w:r>
            <w:r>
              <w:rPr>
                <w:rFonts w:hint="eastAsia" w:ascii="宋体" w:hAnsi="宋体" w:eastAsia="宋体" w:cs="宋体"/>
                <w:color w:val="000000" w:themeColor="text1"/>
                <w:sz w:val="21"/>
                <w:szCs w:val="21"/>
                <w:highlight w:val="none"/>
                <w14:textFill>
                  <w14:solidFill>
                    <w14:schemeClr w14:val="tx1"/>
                  </w14:solidFill>
                </w14:textFill>
              </w:rPr>
              <w:t>污染，危害人体健康。</w:t>
            </w:r>
          </w:p>
        </w:tc>
      </w:tr>
      <w:tr w14:paraId="622EF82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1082" w:hRule="atLeast"/>
          <w:jc w:val="center"/>
        </w:trPr>
        <w:tc>
          <w:tcPr>
            <w:tcW w:w="553" w:type="dxa"/>
            <w:tcBorders>
              <w:tl2br w:val="nil"/>
              <w:tr2bl w:val="nil"/>
            </w:tcBorders>
            <w:noWrap w:val="0"/>
            <w:vAlign w:val="center"/>
          </w:tcPr>
          <w:p w14:paraId="3F0091FE">
            <w:pPr>
              <w:spacing w:line="24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3</w:t>
            </w:r>
          </w:p>
        </w:tc>
        <w:tc>
          <w:tcPr>
            <w:tcW w:w="1546" w:type="dxa"/>
            <w:tcBorders>
              <w:tl2br w:val="nil"/>
              <w:tr2bl w:val="nil"/>
            </w:tcBorders>
            <w:noWrap w:val="0"/>
            <w:vAlign w:val="center"/>
          </w:tcPr>
          <w:p w14:paraId="3C293DF5">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风险防控设施失灵</w:t>
            </w:r>
          </w:p>
        </w:tc>
        <w:tc>
          <w:tcPr>
            <w:tcW w:w="6633" w:type="dxa"/>
            <w:tcBorders>
              <w:tl2br w:val="nil"/>
              <w:tr2bl w:val="nil"/>
            </w:tcBorders>
            <w:noWrap w:val="0"/>
            <w:vAlign w:val="center"/>
          </w:tcPr>
          <w:p w14:paraId="3C974F19">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本厂</w:t>
            </w:r>
            <w:r>
              <w:rPr>
                <w:rFonts w:hint="eastAsia" w:ascii="宋体" w:hAnsi="宋体" w:cs="宋体"/>
                <w:color w:val="000000" w:themeColor="text1"/>
                <w:sz w:val="21"/>
                <w:szCs w:val="21"/>
                <w:highlight w:val="none"/>
                <w:lang w:val="en-US" w:eastAsia="zh-CN"/>
                <w14:textFill>
                  <w14:solidFill>
                    <w14:schemeClr w14:val="tx1"/>
                  </w14:solidFill>
                </w14:textFill>
              </w:rPr>
              <w:t>原料仓库</w:t>
            </w:r>
            <w:r>
              <w:rPr>
                <w:rFonts w:hint="eastAsia" w:ascii="宋体" w:hAnsi="宋体" w:eastAsia="宋体" w:cs="宋体"/>
                <w:color w:val="000000" w:themeColor="text1"/>
                <w:sz w:val="21"/>
                <w:szCs w:val="21"/>
                <w:highlight w:val="none"/>
                <w14:textFill>
                  <w14:solidFill>
                    <w14:schemeClr w14:val="tx1"/>
                  </w14:solidFill>
                </w14:textFill>
              </w:rPr>
              <w:t>、</w:t>
            </w:r>
            <w:r>
              <w:rPr>
                <w:rFonts w:hint="eastAsia" w:ascii="宋体" w:hAnsi="宋体" w:cs="宋体"/>
                <w:color w:val="000000" w:themeColor="text1"/>
                <w:sz w:val="21"/>
                <w:szCs w:val="21"/>
                <w:highlight w:val="none"/>
                <w:lang w:val="en-US" w:eastAsia="zh-CN"/>
                <w14:textFill>
                  <w14:solidFill>
                    <w14:schemeClr w14:val="tx1"/>
                  </w14:solidFill>
                </w14:textFill>
              </w:rPr>
              <w:t>成品仓库</w:t>
            </w:r>
            <w:r>
              <w:rPr>
                <w:rFonts w:hint="eastAsia" w:ascii="宋体" w:hAnsi="宋体" w:eastAsia="宋体" w:cs="宋体"/>
                <w:color w:val="000000" w:themeColor="text1"/>
                <w:sz w:val="21"/>
                <w:szCs w:val="21"/>
                <w:highlight w:val="none"/>
                <w:lang w:eastAsia="zh-CN"/>
                <w14:textFill>
                  <w14:solidFill>
                    <w14:schemeClr w14:val="tx1"/>
                  </w14:solidFill>
                </w14:textFill>
              </w:rPr>
              <w:t>、</w:t>
            </w:r>
            <w:r>
              <w:rPr>
                <w:rFonts w:hint="eastAsia" w:ascii="宋体" w:hAnsi="宋体" w:cs="宋体"/>
                <w:color w:val="000000" w:themeColor="text1"/>
                <w:sz w:val="21"/>
                <w:szCs w:val="21"/>
                <w:highlight w:val="none"/>
                <w:lang w:val="en-US" w:eastAsia="zh-CN"/>
                <w14:textFill>
                  <w14:solidFill>
                    <w14:schemeClr w14:val="tx1"/>
                  </w14:solidFill>
                </w14:textFill>
              </w:rPr>
              <w:t>锅炉房</w:t>
            </w:r>
            <w:r>
              <w:rPr>
                <w:rFonts w:hint="eastAsia" w:ascii="宋体" w:hAnsi="宋体" w:eastAsia="宋体" w:cs="宋体"/>
                <w:color w:val="000000" w:themeColor="text1"/>
                <w:sz w:val="21"/>
                <w:szCs w:val="21"/>
                <w:highlight w:val="none"/>
                <w14:textFill>
                  <w14:solidFill>
                    <w14:schemeClr w14:val="tx1"/>
                  </w14:solidFill>
                </w14:textFill>
              </w:rPr>
              <w:t>、</w:t>
            </w:r>
            <w:r>
              <w:rPr>
                <w:rFonts w:hint="eastAsia" w:ascii="宋体" w:hAnsi="宋体" w:cs="宋体"/>
                <w:color w:val="000000" w:themeColor="text1"/>
                <w:sz w:val="21"/>
                <w:szCs w:val="21"/>
                <w:highlight w:val="none"/>
                <w:lang w:val="en-US" w:eastAsia="zh-CN"/>
                <w14:textFill>
                  <w14:solidFill>
                    <w14:schemeClr w14:val="tx1"/>
                  </w14:solidFill>
                </w14:textFill>
              </w:rPr>
              <w:t>燃料堆放区</w:t>
            </w:r>
            <w:r>
              <w:rPr>
                <w:rFonts w:hint="eastAsia" w:ascii="宋体" w:hAnsi="宋体" w:eastAsia="宋体" w:cs="宋体"/>
                <w:color w:val="000000" w:themeColor="text1"/>
                <w:sz w:val="21"/>
                <w:szCs w:val="21"/>
                <w:highlight w:val="none"/>
                <w14:textFill>
                  <w14:solidFill>
                    <w14:schemeClr w14:val="tx1"/>
                  </w14:solidFill>
                </w14:textFill>
              </w:rPr>
              <w:t>、</w:t>
            </w:r>
            <w:r>
              <w:rPr>
                <w:color w:val="000000" w:themeColor="text1"/>
                <w:kern w:val="0"/>
                <w:szCs w:val="21"/>
                <w14:textFill>
                  <w14:solidFill>
                    <w14:schemeClr w14:val="tx1"/>
                  </w14:solidFill>
                </w14:textFill>
              </w:rPr>
              <w:t>松节油重油储罐区</w:t>
            </w:r>
            <w:r>
              <w:rPr>
                <w:rFonts w:hint="eastAsia" w:ascii="宋体" w:hAnsi="宋体" w:eastAsia="宋体" w:cs="宋体"/>
                <w:color w:val="000000" w:themeColor="text1"/>
                <w:sz w:val="21"/>
                <w:szCs w:val="21"/>
                <w:highlight w:val="none"/>
                <w14:textFill>
                  <w14:solidFill>
                    <w14:schemeClr w14:val="tx1"/>
                  </w14:solidFill>
                </w14:textFill>
              </w:rPr>
              <w:t>、厂区配电线路及化学品泄漏引发的火灾，同时产生大量的</w:t>
            </w:r>
            <w:r>
              <w:rPr>
                <w:rFonts w:hint="eastAsia" w:ascii="宋体" w:hAnsi="宋体" w:eastAsia="宋体" w:cs="宋体"/>
                <w:color w:val="000000" w:themeColor="text1"/>
                <w:sz w:val="21"/>
                <w:szCs w:val="21"/>
                <w:highlight w:val="none"/>
                <w:lang w:eastAsia="zh-CN"/>
                <w14:textFill>
                  <w14:solidFill>
                    <w14:schemeClr w14:val="tx1"/>
                  </w14:solidFill>
                </w14:textFill>
              </w:rPr>
              <w:t>消防废水</w:t>
            </w:r>
            <w:r>
              <w:rPr>
                <w:rFonts w:hint="eastAsia" w:ascii="宋体" w:hAnsi="宋体" w:eastAsia="宋体" w:cs="宋体"/>
                <w:color w:val="000000" w:themeColor="text1"/>
                <w:sz w:val="21"/>
                <w:szCs w:val="21"/>
                <w:highlight w:val="none"/>
                <w14:textFill>
                  <w14:solidFill>
                    <w14:schemeClr w14:val="tx1"/>
                  </w14:solidFill>
                </w14:textFill>
              </w:rPr>
              <w:t>并挟带危险化学品，此时如果通向厂区外的雨水口无人封堵，污染的</w:t>
            </w:r>
            <w:r>
              <w:rPr>
                <w:rFonts w:hint="eastAsia" w:ascii="宋体" w:hAnsi="宋体" w:eastAsia="宋体" w:cs="宋体"/>
                <w:color w:val="000000" w:themeColor="text1"/>
                <w:sz w:val="21"/>
                <w:szCs w:val="21"/>
                <w:highlight w:val="none"/>
                <w:lang w:eastAsia="zh-CN"/>
                <w14:textFill>
                  <w14:solidFill>
                    <w14:schemeClr w14:val="tx1"/>
                  </w14:solidFill>
                </w14:textFill>
              </w:rPr>
              <w:t>消防废水</w:t>
            </w:r>
            <w:r>
              <w:rPr>
                <w:rFonts w:hint="eastAsia" w:ascii="宋体" w:hAnsi="宋体" w:eastAsia="宋体" w:cs="宋体"/>
                <w:color w:val="000000" w:themeColor="text1"/>
                <w:sz w:val="21"/>
                <w:szCs w:val="21"/>
                <w:highlight w:val="none"/>
                <w14:textFill>
                  <w14:solidFill>
                    <w14:schemeClr w14:val="tx1"/>
                  </w14:solidFill>
                </w14:textFill>
              </w:rPr>
              <w:t>通过雨水管沟进入地表水体必将造成严重污染。</w:t>
            </w:r>
          </w:p>
        </w:tc>
      </w:tr>
      <w:tr w14:paraId="0CF200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658" w:hRule="atLeast"/>
          <w:jc w:val="center"/>
        </w:trPr>
        <w:tc>
          <w:tcPr>
            <w:tcW w:w="553" w:type="dxa"/>
            <w:tcBorders>
              <w:tl2br w:val="nil"/>
              <w:tr2bl w:val="nil"/>
            </w:tcBorders>
            <w:noWrap w:val="0"/>
            <w:vAlign w:val="center"/>
          </w:tcPr>
          <w:p w14:paraId="786D0415">
            <w:pPr>
              <w:spacing w:line="240" w:lineRule="auto"/>
              <w:ind w:firstLine="0" w:firstLineChars="0"/>
              <w:jc w:val="center"/>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4</w:t>
            </w:r>
          </w:p>
        </w:tc>
        <w:tc>
          <w:tcPr>
            <w:tcW w:w="1546" w:type="dxa"/>
            <w:tcBorders>
              <w:tl2br w:val="nil"/>
              <w:tr2bl w:val="nil"/>
            </w:tcBorders>
            <w:noWrap w:val="0"/>
            <w:vAlign w:val="center"/>
          </w:tcPr>
          <w:p w14:paraId="4B827640">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污染治理设施异常</w:t>
            </w:r>
          </w:p>
        </w:tc>
        <w:tc>
          <w:tcPr>
            <w:tcW w:w="6633" w:type="dxa"/>
            <w:tcBorders>
              <w:tl2br w:val="nil"/>
              <w:tr2bl w:val="nil"/>
            </w:tcBorders>
            <w:noWrap w:val="0"/>
            <w:vAlign w:val="center"/>
          </w:tcPr>
          <w:p w14:paraId="48B48B3D">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本厂产生的废气，正常情况下除尘系统处理后能达标排放，可能出现的最坏情景是：</w:t>
            </w:r>
            <w:r>
              <w:rPr>
                <w:rFonts w:hint="eastAsia" w:ascii="宋体" w:hAnsi="宋体" w:eastAsia="宋体" w:cs="宋体"/>
                <w:color w:val="000000" w:themeColor="text1"/>
                <w:sz w:val="21"/>
                <w:szCs w:val="21"/>
                <w:highlight w:val="none"/>
                <w:lang w:eastAsia="zh-CN"/>
                <w14:textFill>
                  <w14:solidFill>
                    <w14:schemeClr w14:val="tx1"/>
                  </w14:solidFill>
                </w14:textFill>
              </w:rPr>
              <w:t>废气净化装置</w:t>
            </w:r>
            <w:r>
              <w:rPr>
                <w:rFonts w:hint="eastAsia" w:ascii="宋体" w:hAnsi="宋体" w:eastAsia="宋体" w:cs="宋体"/>
                <w:color w:val="000000" w:themeColor="text1"/>
                <w:sz w:val="21"/>
                <w:szCs w:val="21"/>
                <w:highlight w:val="none"/>
                <w14:textFill>
                  <w14:solidFill>
                    <w14:schemeClr w14:val="tx1"/>
                  </w14:solidFill>
                </w14:textFill>
              </w:rPr>
              <w:t>故障导致失效，废气未经处理直接排入大气，造成空气环境污染。</w:t>
            </w:r>
          </w:p>
        </w:tc>
      </w:tr>
      <w:tr w14:paraId="06EC3C8B">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89" w:hRule="atLeast"/>
          <w:jc w:val="center"/>
        </w:trPr>
        <w:tc>
          <w:tcPr>
            <w:tcW w:w="553" w:type="dxa"/>
            <w:tcBorders>
              <w:tl2br w:val="nil"/>
              <w:tr2bl w:val="nil"/>
            </w:tcBorders>
            <w:noWrap w:val="0"/>
            <w:vAlign w:val="center"/>
          </w:tcPr>
          <w:p w14:paraId="22856791">
            <w:pPr>
              <w:spacing w:line="240" w:lineRule="auto"/>
              <w:ind w:firstLine="0" w:firstLineChars="0"/>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5</w:t>
            </w:r>
          </w:p>
        </w:tc>
        <w:tc>
          <w:tcPr>
            <w:tcW w:w="1546" w:type="dxa"/>
            <w:tcBorders>
              <w:tl2br w:val="nil"/>
              <w:tr2bl w:val="nil"/>
            </w:tcBorders>
            <w:noWrap w:val="0"/>
            <w:vAlign w:val="center"/>
          </w:tcPr>
          <w:p w14:paraId="24DB7148">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通讯和运输时间故障</w:t>
            </w:r>
          </w:p>
        </w:tc>
        <w:tc>
          <w:tcPr>
            <w:tcW w:w="6633" w:type="dxa"/>
            <w:tcBorders>
              <w:tl2br w:val="nil"/>
              <w:tr2bl w:val="nil"/>
            </w:tcBorders>
            <w:noWrap w:val="0"/>
            <w:vAlign w:val="center"/>
          </w:tcPr>
          <w:p w14:paraId="78312CAA">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cs="宋体"/>
                <w:color w:val="000000" w:themeColor="text1"/>
                <w:sz w:val="21"/>
                <w:szCs w:val="21"/>
                <w:highlight w:val="none"/>
                <w:lang w:val="en-US" w:eastAsia="zh-CN"/>
                <w14:textFill>
                  <w14:solidFill>
                    <w14:schemeClr w14:val="tx1"/>
                  </w14:solidFill>
                </w14:textFill>
              </w:rPr>
              <w:t>本厂</w:t>
            </w:r>
            <w:r>
              <w:rPr>
                <w:rFonts w:hint="eastAsia" w:ascii="宋体" w:hAnsi="宋体" w:eastAsia="宋体" w:cs="宋体"/>
                <w:color w:val="000000" w:themeColor="text1"/>
                <w:sz w:val="21"/>
                <w:szCs w:val="21"/>
                <w:highlight w:val="none"/>
                <w14:textFill>
                  <w14:solidFill>
                    <w14:schemeClr w14:val="tx1"/>
                  </w14:solidFill>
                </w14:textFill>
              </w:rPr>
              <w:t>通迅不畅的风险是使最佳事件救援时间延误。</w:t>
            </w:r>
          </w:p>
        </w:tc>
      </w:tr>
      <w:tr w14:paraId="15EF4A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5" w:hRule="atLeast"/>
          <w:jc w:val="center"/>
        </w:trPr>
        <w:tc>
          <w:tcPr>
            <w:tcW w:w="553" w:type="dxa"/>
            <w:tcBorders>
              <w:tl2br w:val="nil"/>
              <w:tr2bl w:val="nil"/>
            </w:tcBorders>
            <w:noWrap w:val="0"/>
            <w:vAlign w:val="center"/>
          </w:tcPr>
          <w:p w14:paraId="0BC40473">
            <w:pPr>
              <w:spacing w:line="240" w:lineRule="auto"/>
              <w:ind w:firstLine="0" w:firstLineChars="0"/>
              <w:jc w:val="center"/>
              <w:rPr>
                <w:rFonts w:hint="eastAsia" w:ascii="宋体" w:hAnsi="宋体" w:eastAsia="宋体" w:cs="宋体"/>
                <w:color w:val="000000" w:themeColor="text1"/>
                <w:sz w:val="21"/>
                <w:szCs w:val="21"/>
                <w:highlight w:val="none"/>
                <w:lang w:eastAsia="zh-CN"/>
                <w14:textFill>
                  <w14:solidFill>
                    <w14:schemeClr w14:val="tx1"/>
                  </w14:solidFill>
                </w14:textFill>
              </w:rPr>
            </w:pPr>
            <w:r>
              <w:rPr>
                <w:rFonts w:hint="eastAsia" w:ascii="宋体" w:hAnsi="宋体" w:eastAsia="宋体" w:cs="宋体"/>
                <w:color w:val="000000" w:themeColor="text1"/>
                <w:sz w:val="21"/>
                <w:szCs w:val="21"/>
                <w:highlight w:val="none"/>
                <w:lang w:val="en-US" w:eastAsia="zh-CN"/>
                <w14:textFill>
                  <w14:solidFill>
                    <w14:schemeClr w14:val="tx1"/>
                  </w14:solidFill>
                </w14:textFill>
              </w:rPr>
              <w:t>6</w:t>
            </w:r>
          </w:p>
        </w:tc>
        <w:tc>
          <w:tcPr>
            <w:tcW w:w="1546" w:type="dxa"/>
            <w:tcBorders>
              <w:tl2br w:val="nil"/>
              <w:tr2bl w:val="nil"/>
            </w:tcBorders>
            <w:noWrap w:val="0"/>
            <w:vAlign w:val="center"/>
          </w:tcPr>
          <w:p w14:paraId="6C8359CC">
            <w:pPr>
              <w:spacing w:line="240" w:lineRule="auto"/>
              <w:ind w:firstLine="0" w:firstLineChars="0"/>
              <w:jc w:val="left"/>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各种自然灾害或极端不利的气象条件</w:t>
            </w:r>
          </w:p>
        </w:tc>
        <w:tc>
          <w:tcPr>
            <w:tcW w:w="6633" w:type="dxa"/>
            <w:tcBorders>
              <w:tl2br w:val="nil"/>
              <w:tr2bl w:val="nil"/>
            </w:tcBorders>
            <w:noWrap w:val="0"/>
            <w:vAlign w:val="center"/>
          </w:tcPr>
          <w:p w14:paraId="29375AE8">
            <w:pPr>
              <w:spacing w:line="240" w:lineRule="auto"/>
              <w:ind w:firstLine="420"/>
              <w:rPr>
                <w:rFonts w:hint="eastAsia" w:ascii="宋体" w:hAnsi="宋体" w:eastAsia="宋体" w:cs="宋体"/>
                <w:color w:val="000000" w:themeColor="text1"/>
                <w:sz w:val="21"/>
                <w:szCs w:val="21"/>
                <w:highlight w:val="none"/>
                <w14:textFill>
                  <w14:solidFill>
                    <w14:schemeClr w14:val="tx1"/>
                  </w14:solidFill>
                </w14:textFill>
              </w:rPr>
            </w:pPr>
            <w:r>
              <w:rPr>
                <w:rFonts w:hint="eastAsia" w:ascii="宋体" w:hAnsi="宋体" w:eastAsia="宋体" w:cs="宋体"/>
                <w:color w:val="000000" w:themeColor="text1"/>
                <w:sz w:val="21"/>
                <w:szCs w:val="21"/>
                <w:highlight w:val="none"/>
                <w14:textFill>
                  <w14:solidFill>
                    <w14:schemeClr w14:val="tx1"/>
                  </w14:solidFill>
                </w14:textFill>
              </w:rPr>
              <w:t>本地区可能出现的自然灾害为暴雨，发生上述情况，可使建筑物室外或室内的化学品泄漏和溢出。</w:t>
            </w:r>
          </w:p>
        </w:tc>
      </w:tr>
    </w:tbl>
    <w:p w14:paraId="6516C018">
      <w:pPr>
        <w:pStyle w:val="9"/>
        <w:keepNext/>
        <w:keepLines/>
        <w:spacing w:before="260" w:beforeLines="0" w:after="260" w:afterLines="0" w:line="416" w:lineRule="auto"/>
        <w:ind w:firstLine="0" w:firstLineChars="0"/>
        <w:rPr>
          <w:rFonts w:hint="default" w:ascii="宋体" w:hAnsi="宋体" w:eastAsia="宋体" w:cs="宋体"/>
          <w:b/>
          <w:bCs/>
          <w:color w:val="000000" w:themeColor="text1"/>
          <w:kern w:val="2"/>
          <w:sz w:val="28"/>
          <w:szCs w:val="28"/>
          <w:lang w:val="en-US" w:eastAsia="zh-CN"/>
          <w14:textFill>
            <w14:solidFill>
              <w14:schemeClr w14:val="tx1"/>
            </w14:solidFill>
          </w14:textFill>
        </w:rPr>
      </w:pPr>
      <w:bookmarkStart w:id="148" w:name="_Toc12939"/>
      <w:bookmarkStart w:id="149" w:name="_Toc18410"/>
      <w:r>
        <w:rPr>
          <w:rFonts w:hint="eastAsia" w:ascii="宋体" w:hAnsi="宋体" w:eastAsia="宋体" w:cs="宋体"/>
          <w:b/>
          <w:bCs/>
          <w:color w:val="000000" w:themeColor="text1"/>
          <w:kern w:val="2"/>
          <w:sz w:val="28"/>
          <w:szCs w:val="28"/>
          <w:lang w:val="en-US" w:eastAsia="zh-CN"/>
          <w14:textFill>
            <w14:solidFill>
              <w14:schemeClr w14:val="tx1"/>
            </w14:solidFill>
          </w14:textFill>
        </w:rPr>
        <w:t>4.2突发环境事件情景源强分析</w:t>
      </w:r>
      <w:bookmarkEnd w:id="148"/>
    </w:p>
    <w:p w14:paraId="5B685582">
      <w:pPr>
        <w:pStyle w:val="10"/>
        <w:keepNext/>
        <w:keepLines/>
        <w:spacing w:before="140" w:beforeLines="0" w:after="140" w:afterLines="0" w:line="416" w:lineRule="auto"/>
        <w:ind w:firstLine="0" w:firstLineChars="0"/>
        <w:jc w:val="both"/>
        <w:rPr>
          <w:rFonts w:hint="default" w:ascii="宋体" w:hAnsi="宋体" w:cs="仿宋"/>
          <w:color w:val="000000" w:themeColor="text1"/>
          <w:spacing w:val="0"/>
          <w:kern w:val="2"/>
          <w:sz w:val="24"/>
          <w:szCs w:val="24"/>
          <w:lang w:val="en-US" w:eastAsia="zh-CN" w:bidi="ar-SA"/>
          <w14:textFill>
            <w14:solidFill>
              <w14:schemeClr w14:val="tx1"/>
            </w14:solidFill>
          </w14:textFill>
        </w:rPr>
      </w:pPr>
      <w:bookmarkStart w:id="150" w:name="_Toc30527"/>
      <w:r>
        <w:rPr>
          <w:rFonts w:hint="eastAsia" w:ascii="宋体" w:hAnsi="宋体" w:eastAsia="宋体" w:cs="Times New Roman"/>
          <w:b/>
          <w:bCs/>
          <w:color w:val="000000" w:themeColor="text1"/>
          <w:sz w:val="28"/>
          <w:szCs w:val="28"/>
          <w:lang w:val="en-US" w:eastAsia="zh-CN"/>
          <w14:textFill>
            <w14:solidFill>
              <w14:schemeClr w14:val="tx1"/>
            </w14:solidFill>
          </w14:textFill>
        </w:rPr>
        <w:t>4.2.1</w:t>
      </w:r>
      <w:r>
        <w:rPr>
          <w:rFonts w:hint="eastAsia" w:ascii="宋体" w:hAnsi="宋体" w:cs="仿宋"/>
          <w:b/>
          <w:bCs w:val="0"/>
          <w:color w:val="000000" w:themeColor="text1"/>
          <w:sz w:val="28"/>
          <w:szCs w:val="28"/>
          <w:lang w:eastAsia="zh-CN"/>
          <w14:textFill>
            <w14:solidFill>
              <w14:schemeClr w14:val="tx1"/>
            </w14:solidFill>
          </w14:textFill>
        </w:rPr>
        <w:t>火灾、爆炸</w:t>
      </w:r>
      <w:bookmarkEnd w:id="150"/>
    </w:p>
    <w:bookmarkEnd w:id="149"/>
    <w:p w14:paraId="29779538">
      <w:pPr>
        <w:pStyle w:val="40"/>
        <w:snapToGrid w:val="0"/>
        <w:spacing w:line="360" w:lineRule="auto"/>
        <w:ind w:firstLine="560"/>
        <w:rPr>
          <w:rFonts w:hint="eastAsia" w:ascii="宋体" w:hAnsi="宋体" w:eastAsia="宋体" w:cs="仿宋"/>
          <w:color w:val="000000" w:themeColor="text1"/>
          <w:sz w:val="24"/>
          <w:szCs w:val="24"/>
          <w:lang w:val="en-US" w:eastAsia="zh-CN"/>
          <w14:textFill>
            <w14:solidFill>
              <w14:schemeClr w14:val="tx1"/>
            </w14:solidFill>
          </w14:textFill>
        </w:rPr>
      </w:pPr>
      <w:r>
        <w:rPr>
          <w:rFonts w:cs="Times New Roman"/>
          <w:color w:val="000000" w:themeColor="text1"/>
          <w:szCs w:val="24"/>
          <w14:textFill>
            <w14:solidFill>
              <w14:schemeClr w14:val="tx1"/>
            </w14:solidFill>
          </w14:textFill>
        </w:rPr>
        <w:t>废</w:t>
      </w:r>
      <w:r>
        <w:rPr>
          <w:rFonts w:hint="eastAsia" w:cs="Times New Roman"/>
          <w:color w:val="000000" w:themeColor="text1"/>
          <w:szCs w:val="24"/>
          <w14:textFill>
            <w14:solidFill>
              <w14:schemeClr w14:val="tx1"/>
            </w14:solidFill>
          </w14:textFill>
        </w:rPr>
        <w:t>机</w:t>
      </w:r>
      <w:r>
        <w:rPr>
          <w:rFonts w:cs="Times New Roman"/>
          <w:color w:val="000000" w:themeColor="text1"/>
          <w:szCs w:val="24"/>
          <w14:textFill>
            <w14:solidFill>
              <w14:schemeClr w14:val="tx1"/>
            </w14:solidFill>
          </w14:textFill>
        </w:rPr>
        <w:t>油</w:t>
      </w:r>
      <w:r>
        <w:rPr>
          <w:rFonts w:hint="eastAsia" w:cs="Times New Roman"/>
          <w:color w:val="000000" w:themeColor="text1"/>
          <w:szCs w:val="24"/>
          <w:lang w:val="en-US" w:eastAsia="zh-CN"/>
          <w14:textFill>
            <w14:solidFill>
              <w14:schemeClr w14:val="tx1"/>
            </w14:solidFill>
          </w14:textFill>
        </w:rPr>
        <w:t>和成品松香</w:t>
      </w:r>
      <w:r>
        <w:rPr>
          <w:rFonts w:cs="Times New Roman"/>
          <w:color w:val="000000" w:themeColor="text1"/>
          <w:szCs w:val="24"/>
          <w14:textFill>
            <w14:solidFill>
              <w14:schemeClr w14:val="tx1"/>
            </w14:solidFill>
          </w14:textFill>
        </w:rPr>
        <w:t>在遇明火时发生火灾事故，产生</w:t>
      </w:r>
      <w:r>
        <w:rPr>
          <w:rFonts w:hint="default" w:ascii="Times New Roman" w:hAnsi="Times New Roman" w:cs="Times New Roman"/>
          <w:color w:val="000000" w:themeColor="text1"/>
          <w:szCs w:val="24"/>
          <w14:textFill>
            <w14:solidFill>
              <w14:schemeClr w14:val="tx1"/>
            </w14:solidFill>
          </w14:textFill>
        </w:rPr>
        <w:t>CO</w:t>
      </w:r>
      <w:r>
        <w:rPr>
          <w:rFonts w:cs="Times New Roman"/>
          <w:color w:val="000000" w:themeColor="text1"/>
          <w:szCs w:val="24"/>
          <w14:textFill>
            <w14:solidFill>
              <w14:schemeClr w14:val="tx1"/>
            </w14:solidFill>
          </w14:textFill>
        </w:rPr>
        <w:t>和</w:t>
      </w:r>
      <w:r>
        <w:rPr>
          <w:rFonts w:hint="default" w:ascii="Times New Roman" w:hAnsi="Times New Roman" w:cs="Times New Roman"/>
          <w:color w:val="000000" w:themeColor="text1"/>
          <w:szCs w:val="24"/>
          <w14:textFill>
            <w14:solidFill>
              <w14:schemeClr w14:val="tx1"/>
            </w14:solidFill>
          </w14:textFill>
        </w:rPr>
        <w:t>CO</w:t>
      </w:r>
      <w:r>
        <w:rPr>
          <w:rFonts w:hint="default" w:ascii="Times New Roman" w:hAnsi="Times New Roman" w:cs="Times New Roman"/>
          <w:color w:val="000000" w:themeColor="text1"/>
          <w:szCs w:val="24"/>
          <w:vertAlign w:val="subscript"/>
          <w14:textFill>
            <w14:solidFill>
              <w14:schemeClr w14:val="tx1"/>
            </w14:solidFill>
          </w14:textFill>
        </w:rPr>
        <w:t>2</w:t>
      </w:r>
      <w:r>
        <w:rPr>
          <w:rFonts w:cs="Times New Roman"/>
          <w:color w:val="000000" w:themeColor="text1"/>
          <w:szCs w:val="24"/>
          <w14:textFill>
            <w14:solidFill>
              <w14:schemeClr w14:val="tx1"/>
            </w14:solidFill>
          </w14:textFill>
        </w:rPr>
        <w:t>等污染物，排放到大气环境中会污染大气环境，</w:t>
      </w:r>
      <w:r>
        <w:rPr>
          <w:rFonts w:hint="eastAsia" w:cs="Times New Roman"/>
          <w:color w:val="000000" w:themeColor="text1"/>
          <w:szCs w:val="24"/>
          <w:lang w:eastAsia="zh-CN"/>
          <w14:textFill>
            <w14:solidFill>
              <w14:schemeClr w14:val="tx1"/>
            </w14:solidFill>
          </w14:textFill>
        </w:rPr>
        <w:t>废机油</w:t>
      </w:r>
      <w:r>
        <w:rPr>
          <w:rFonts w:cs="Times New Roman"/>
          <w:color w:val="000000" w:themeColor="text1"/>
          <w:szCs w:val="24"/>
          <w14:textFill>
            <w14:solidFill>
              <w14:schemeClr w14:val="tx1"/>
            </w14:solidFill>
          </w14:textFill>
        </w:rPr>
        <w:t>量较小，发生火灾爆炸事故的概率较小，</w:t>
      </w:r>
      <w:r>
        <w:rPr>
          <w:rFonts w:hint="eastAsia" w:cs="Times New Roman"/>
          <w:color w:val="000000" w:themeColor="text1"/>
          <w:szCs w:val="24"/>
          <w:lang w:val="en-US" w:eastAsia="zh-CN"/>
          <w14:textFill>
            <w14:solidFill>
              <w14:schemeClr w14:val="tx1"/>
            </w14:solidFill>
          </w14:textFill>
        </w:rPr>
        <w:t>松香储存在成品仓库中，仓库防护措施和应急物资充足，</w:t>
      </w:r>
      <w:r>
        <w:rPr>
          <w:rFonts w:cs="Times New Roman"/>
          <w:color w:val="000000" w:themeColor="text1"/>
          <w:szCs w:val="24"/>
          <w14:textFill>
            <w14:solidFill>
              <w14:schemeClr w14:val="tx1"/>
            </w14:solidFill>
          </w14:textFill>
        </w:rPr>
        <w:t>在发生火灾时能够及时采取措施在最短时间内将火扑灭，废气产生量很小，在扑灭后经空气扩散稀释后对大气环境影响较小</w:t>
      </w:r>
      <w:r>
        <w:rPr>
          <w:rFonts w:hint="eastAsia" w:cs="Times New Roman"/>
          <w:color w:val="000000" w:themeColor="text1"/>
          <w:szCs w:val="24"/>
          <w:lang w:eastAsia="zh-CN"/>
          <w14:textFill>
            <w14:solidFill>
              <w14:schemeClr w14:val="tx1"/>
            </w14:solidFill>
          </w14:textFill>
        </w:rPr>
        <w:t>，但消防用水灭火后的消防废水在厂区弥漫，含有废机油的废水流入地表水和土壤，对土壤和河流造成一定的污染。油漆遇明火容易燃烧发生火灾事故，产生苯等有毒气体，对环境和人体有一定的危害。</w:t>
      </w:r>
    </w:p>
    <w:p w14:paraId="166AE0E0">
      <w:pPr>
        <w:pStyle w:val="10"/>
        <w:keepNext/>
        <w:keepLines/>
        <w:spacing w:before="140" w:beforeLines="0" w:after="140" w:afterLines="0" w:line="416" w:lineRule="auto"/>
        <w:ind w:firstLine="0" w:firstLineChars="0"/>
        <w:jc w:val="both"/>
        <w:rPr>
          <w:rFonts w:hint="default" w:ascii="宋体" w:hAnsi="宋体" w:cs="仿宋"/>
          <w:color w:val="000000" w:themeColor="text1"/>
          <w:spacing w:val="0"/>
          <w:kern w:val="2"/>
          <w:sz w:val="24"/>
          <w:szCs w:val="24"/>
          <w:lang w:val="en-US" w:eastAsia="zh-CN" w:bidi="ar-SA"/>
          <w14:textFill>
            <w14:solidFill>
              <w14:schemeClr w14:val="tx1"/>
            </w14:solidFill>
          </w14:textFill>
        </w:rPr>
      </w:pPr>
      <w:bookmarkStart w:id="151" w:name="_Toc25226"/>
      <w:bookmarkStart w:id="152" w:name="_Toc29709"/>
      <w:bookmarkStart w:id="153" w:name="_Toc19666"/>
      <w:bookmarkStart w:id="154" w:name="_Toc29566"/>
      <w:bookmarkStart w:id="155" w:name="_Toc31960"/>
      <w:r>
        <w:rPr>
          <w:rFonts w:hint="eastAsia" w:ascii="宋体" w:hAnsi="宋体" w:eastAsia="宋体" w:cs="Times New Roman"/>
          <w:b/>
          <w:bCs/>
          <w:color w:val="000000" w:themeColor="text1"/>
          <w:sz w:val="28"/>
          <w:szCs w:val="28"/>
          <w:lang w:val="en-US" w:eastAsia="zh-CN"/>
          <w14:textFill>
            <w14:solidFill>
              <w14:schemeClr w14:val="tx1"/>
            </w14:solidFill>
          </w14:textFill>
        </w:rPr>
        <w:t>4.2.2</w:t>
      </w:r>
      <w:r>
        <w:rPr>
          <w:rFonts w:hint="eastAsia" w:ascii="宋体" w:hAnsi="宋体" w:cs="仿宋"/>
          <w:b/>
          <w:bCs w:val="0"/>
          <w:color w:val="000000" w:themeColor="text1"/>
          <w:sz w:val="28"/>
          <w:szCs w:val="28"/>
          <w14:textFill>
            <w14:solidFill>
              <w14:schemeClr w14:val="tx1"/>
            </w14:solidFill>
          </w14:textFill>
        </w:rPr>
        <w:t>危险废物污染事故</w:t>
      </w:r>
      <w:bookmarkEnd w:id="151"/>
    </w:p>
    <w:bookmarkEnd w:id="152"/>
    <w:bookmarkEnd w:id="153"/>
    <w:bookmarkEnd w:id="154"/>
    <w:bookmarkEnd w:id="155"/>
    <w:p w14:paraId="068639E7">
      <w:pPr>
        <w:pStyle w:val="40"/>
        <w:snapToGrid w:val="0"/>
        <w:spacing w:line="360" w:lineRule="auto"/>
        <w:ind w:firstLine="560"/>
        <w:rPr>
          <w:rFonts w:hint="eastAsia" w:ascii="宋体" w:hAnsi="宋体" w:eastAsia="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在生产活动过程中产生的危险废物主要有</w:t>
      </w:r>
      <w:r>
        <w:rPr>
          <w:rFonts w:hint="eastAsia" w:ascii="宋体" w:hAnsi="宋体" w:cs="仿宋"/>
          <w:color w:val="000000" w:themeColor="text1"/>
          <w:sz w:val="24"/>
          <w:szCs w:val="24"/>
          <w:lang w:val="en-US" w:eastAsia="zh-CN"/>
          <w14:textFill>
            <w14:solidFill>
              <w14:schemeClr w14:val="tx1"/>
            </w14:solidFill>
          </w14:textFill>
        </w:rPr>
        <w:t>废机油、废导热油</w:t>
      </w:r>
      <w:r>
        <w:rPr>
          <w:rFonts w:hint="eastAsia" w:ascii="宋体" w:hAnsi="宋体" w:eastAsia="宋体" w:cs="仿宋"/>
          <w:color w:val="000000" w:themeColor="text1"/>
          <w:sz w:val="24"/>
          <w:szCs w:val="24"/>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废</w:t>
      </w:r>
      <w:r>
        <w:rPr>
          <w:rFonts w:hint="eastAsia" w:ascii="宋体" w:hAnsi="宋体" w:cs="仿宋"/>
          <w:color w:val="000000" w:themeColor="text1"/>
          <w:sz w:val="24"/>
          <w:szCs w:val="24"/>
          <w:lang w:val="en-US" w:eastAsia="zh-CN"/>
          <w14:textFill>
            <w14:solidFill>
              <w14:schemeClr w14:val="tx1"/>
            </w14:solidFill>
          </w14:textFill>
        </w:rPr>
        <w:t>机油和</w:t>
      </w:r>
      <w:r>
        <w:rPr>
          <w:rFonts w:hint="eastAsia" w:ascii="宋体" w:hAnsi="宋体" w:eastAsia="宋体" w:cs="仿宋"/>
          <w:color w:val="000000" w:themeColor="text1"/>
          <w:sz w:val="24"/>
          <w:szCs w:val="24"/>
          <w:lang w:val="en-US" w:eastAsia="zh-CN"/>
          <w14:textFill>
            <w14:solidFill>
              <w14:schemeClr w14:val="tx1"/>
            </w14:solidFill>
          </w14:textFill>
        </w:rPr>
        <w:t>收集于危废暂存间内，委托有资质的单位进行清运处理，</w:t>
      </w:r>
      <w:r>
        <w:rPr>
          <w:color w:val="000000" w:themeColor="text1"/>
          <w:sz w:val="24"/>
          <w14:textFill>
            <w14:solidFill>
              <w14:schemeClr w14:val="tx1"/>
            </w14:solidFill>
          </w14:textFill>
        </w:rPr>
        <w:t>导热油炉中的导热油需</w:t>
      </w:r>
      <w:r>
        <w:rPr>
          <w:rFonts w:hint="eastAsia"/>
          <w:color w:val="000000" w:themeColor="text1"/>
          <w:sz w:val="24"/>
          <w:lang w:val="en-US" w:eastAsia="zh-CN"/>
          <w14:textFill>
            <w14:solidFill>
              <w14:schemeClr w14:val="tx1"/>
            </w14:solidFill>
          </w14:textFill>
        </w:rPr>
        <w:t>8-10</w:t>
      </w:r>
      <w:r>
        <w:rPr>
          <w:color w:val="000000" w:themeColor="text1"/>
          <w:sz w:val="24"/>
          <w14:textFill>
            <w14:solidFill>
              <w14:schemeClr w14:val="tx1"/>
            </w14:solidFill>
          </w14:textFill>
        </w:rPr>
        <w:t>年更换一次</w:t>
      </w:r>
      <w:r>
        <w:rPr>
          <w:rFonts w:hint="eastAsia"/>
          <w:color w:val="000000" w:themeColor="text1"/>
          <w:sz w:val="24"/>
          <w:lang w:eastAsia="zh-CN"/>
          <w14:textFill>
            <w14:solidFill>
              <w14:schemeClr w14:val="tx1"/>
            </w14:solidFill>
          </w14:textFill>
        </w:rPr>
        <w:t>，</w:t>
      </w:r>
      <w:r>
        <w:rPr>
          <w:rFonts w:hint="eastAsia"/>
          <w:color w:val="000000" w:themeColor="text1"/>
          <w:sz w:val="24"/>
          <w:lang w:val="en-US" w:eastAsia="zh-CN"/>
          <w14:textFill>
            <w14:solidFill>
              <w14:schemeClr w14:val="tx1"/>
            </w14:solidFill>
          </w14:textFill>
        </w:rPr>
        <w:t>由厂家进行更换回收处置</w:t>
      </w:r>
      <w:r>
        <w:rPr>
          <w:rFonts w:hint="eastAsia" w:ascii="宋体" w:hAnsi="宋体" w:eastAsia="宋体" w:cs="仿宋"/>
          <w:color w:val="000000" w:themeColor="text1"/>
          <w:sz w:val="24"/>
          <w:szCs w:val="24"/>
          <w:lang w:val="en-US" w:eastAsia="zh-CN"/>
          <w14:textFill>
            <w14:solidFill>
              <w14:schemeClr w14:val="tx1"/>
            </w14:solidFill>
          </w14:textFill>
        </w:rPr>
        <w:t>；</w:t>
      </w:r>
      <w:r>
        <w:rPr>
          <w:rFonts w:hint="eastAsia" w:ascii="宋体" w:hAnsi="宋体" w:cs="仿宋"/>
          <w:color w:val="000000" w:themeColor="text1"/>
          <w:sz w:val="24"/>
          <w:szCs w:val="24"/>
          <w14:textFill>
            <w14:solidFill>
              <w14:schemeClr w14:val="tx1"/>
            </w14:solidFill>
          </w14:textFill>
        </w:rPr>
        <w:t>一旦出现危险废物泄漏、丢失等情况，将会对厂区周的的农田、村庄、交通、地下水等产生</w:t>
      </w:r>
      <w:r>
        <w:rPr>
          <w:rFonts w:hint="eastAsia" w:ascii="宋体" w:hAnsi="宋体" w:cs="仿宋"/>
          <w:color w:val="000000" w:themeColor="text1"/>
          <w:sz w:val="24"/>
          <w:szCs w:val="24"/>
          <w:lang w:eastAsia="zh-CN"/>
          <w14:textFill>
            <w14:solidFill>
              <w14:schemeClr w14:val="tx1"/>
            </w14:solidFill>
          </w14:textFill>
        </w:rPr>
        <w:t>一定</w:t>
      </w:r>
      <w:r>
        <w:rPr>
          <w:rFonts w:hint="eastAsia" w:ascii="宋体" w:hAnsi="宋体" w:cs="仿宋"/>
          <w:color w:val="000000" w:themeColor="text1"/>
          <w:sz w:val="24"/>
          <w:szCs w:val="24"/>
          <w14:textFill>
            <w14:solidFill>
              <w14:schemeClr w14:val="tx1"/>
            </w14:solidFill>
          </w14:textFill>
        </w:rPr>
        <w:t>的污染，导致环境污染事件。</w:t>
      </w:r>
    </w:p>
    <w:p w14:paraId="0B10848D">
      <w:pPr>
        <w:pStyle w:val="10"/>
        <w:keepNext/>
        <w:keepLines/>
        <w:spacing w:before="140" w:beforeLines="0" w:after="140" w:afterLines="0" w:line="416" w:lineRule="auto"/>
        <w:ind w:firstLine="0" w:firstLineChars="0"/>
        <w:jc w:val="both"/>
        <w:rPr>
          <w:rFonts w:hint="default" w:ascii="宋体" w:hAnsi="宋体" w:cs="仿宋"/>
          <w:color w:val="000000" w:themeColor="text1"/>
          <w:spacing w:val="0"/>
          <w:kern w:val="2"/>
          <w:sz w:val="24"/>
          <w:szCs w:val="24"/>
          <w:lang w:val="en-US" w:eastAsia="zh-CN" w:bidi="ar-SA"/>
          <w14:textFill>
            <w14:solidFill>
              <w14:schemeClr w14:val="tx1"/>
            </w14:solidFill>
          </w14:textFill>
        </w:rPr>
      </w:pPr>
      <w:bookmarkStart w:id="156" w:name="_Toc1834"/>
      <w:bookmarkStart w:id="157" w:name="_Toc27248"/>
      <w:r>
        <w:rPr>
          <w:rFonts w:hint="eastAsia" w:ascii="宋体" w:hAnsi="宋体" w:eastAsia="宋体" w:cs="Times New Roman"/>
          <w:b/>
          <w:bCs/>
          <w:color w:val="000000" w:themeColor="text1"/>
          <w:sz w:val="28"/>
          <w:szCs w:val="28"/>
          <w:lang w:val="en-US" w:eastAsia="zh-CN"/>
          <w14:textFill>
            <w14:solidFill>
              <w14:schemeClr w14:val="tx1"/>
            </w14:solidFill>
          </w14:textFill>
        </w:rPr>
        <w:t>4.2.3</w:t>
      </w:r>
      <w:r>
        <w:rPr>
          <w:rFonts w:hint="eastAsia" w:ascii="宋体" w:hAnsi="宋体" w:cs="仿宋"/>
          <w:b/>
          <w:bCs w:val="0"/>
          <w:color w:val="000000" w:themeColor="text1"/>
          <w:sz w:val="28"/>
          <w:szCs w:val="28"/>
          <w:lang w:eastAsia="zh-CN"/>
          <w14:textFill>
            <w14:solidFill>
              <w14:schemeClr w14:val="tx1"/>
            </w14:solidFill>
          </w14:textFill>
        </w:rPr>
        <w:t>废气排放和废水泄漏</w:t>
      </w:r>
      <w:bookmarkEnd w:id="156"/>
    </w:p>
    <w:bookmarkEnd w:id="157"/>
    <w:p w14:paraId="641C2D90">
      <w:pPr>
        <w:pStyle w:val="40"/>
        <w:snapToGrid w:val="0"/>
        <w:spacing w:line="360" w:lineRule="auto"/>
        <w:ind w:firstLine="560"/>
        <w:rPr>
          <w:rFonts w:hint="eastAsia"/>
          <w:color w:val="000000" w:themeColor="text1"/>
          <w:lang w:val="en-US" w:eastAsia="zh-CN"/>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val="en-US" w:eastAsia="zh-CN"/>
          <w14:textFill>
            <w14:solidFill>
              <w14:schemeClr w14:val="tx1"/>
            </w14:solidFill>
          </w14:textFill>
        </w:rPr>
        <w:t>主要有颗粒物，二氧化硫和氮氧化</w:t>
      </w:r>
      <w:r>
        <w:rPr>
          <w:rFonts w:hint="eastAsia" w:ascii="宋体" w:hAnsi="宋体" w:eastAsia="宋体" w:cs="宋体"/>
          <w:color w:val="000000" w:themeColor="text1"/>
          <w:kern w:val="0"/>
          <w:sz w:val="24"/>
          <w:szCs w:val="24"/>
          <w:lang w:val="en-US" w:eastAsia="zh-CN"/>
          <w14:textFill>
            <w14:solidFill>
              <w14:schemeClr w14:val="tx1"/>
            </w14:solidFill>
          </w14:textFill>
        </w:rPr>
        <w:t>物，</w:t>
      </w:r>
      <w:r>
        <w:rPr>
          <w:rFonts w:hint="eastAsia" w:ascii="宋体" w:hAnsi="宋体" w:eastAsia="宋体" w:cs="宋体"/>
          <w:color w:val="000000" w:themeColor="text1"/>
          <w:kern w:val="0"/>
          <w:sz w:val="24"/>
          <w:szCs w:val="24"/>
          <w14:textFill>
            <w14:solidFill>
              <w14:schemeClr w14:val="tx1"/>
            </w14:solidFill>
          </w14:textFill>
        </w:rPr>
        <w:t>锅炉燃料燃烧废气</w:t>
      </w:r>
      <w:r>
        <w:rPr>
          <w:rFonts w:hint="eastAsia" w:ascii="宋体" w:hAnsi="宋体" w:cs="宋体"/>
          <w:color w:val="000000" w:themeColor="text1"/>
          <w:kern w:val="0"/>
          <w:sz w:val="24"/>
          <w:szCs w:val="24"/>
          <w:lang w:val="en-US" w:eastAsia="zh-CN"/>
          <w14:textFill>
            <w14:solidFill>
              <w14:schemeClr w14:val="tx1"/>
            </w14:solidFill>
          </w14:textFill>
        </w:rPr>
        <w:t>经</w:t>
      </w:r>
      <w:r>
        <w:rPr>
          <w:rFonts w:hint="eastAsia" w:ascii="宋体" w:hAnsi="宋体" w:eastAsia="宋体" w:cs="宋体"/>
          <w:color w:val="000000" w:themeColor="text1"/>
          <w:kern w:val="0"/>
          <w:sz w:val="24"/>
          <w:szCs w:val="24"/>
          <w14:textFill>
            <w14:solidFill>
              <w14:schemeClr w14:val="tx1"/>
            </w14:solidFill>
          </w14:textFill>
        </w:rPr>
        <w:t>旋风除尘器+布袋除尘器+水膜除尘器</w:t>
      </w:r>
      <w:r>
        <w:rPr>
          <w:rFonts w:hint="eastAsia" w:ascii="宋体" w:hAnsi="宋体" w:cs="宋体"/>
          <w:color w:val="000000" w:themeColor="text1"/>
          <w:kern w:val="0"/>
          <w:sz w:val="24"/>
          <w:szCs w:val="24"/>
          <w:lang w:val="en-US" w:eastAsia="zh-CN"/>
          <w14:textFill>
            <w14:solidFill>
              <w14:schemeClr w14:val="tx1"/>
            </w14:solidFill>
          </w14:textFill>
        </w:rPr>
        <w:t>处理达标后，经</w:t>
      </w:r>
      <w:r>
        <w:rPr>
          <w:rFonts w:hint="eastAsia" w:ascii="宋体" w:hAnsi="宋体" w:eastAsia="宋体" w:cs="宋体"/>
          <w:color w:val="000000" w:themeColor="text1"/>
          <w:kern w:val="0"/>
          <w:sz w:val="24"/>
          <w:szCs w:val="24"/>
          <w14:textFill>
            <w14:solidFill>
              <w14:schemeClr w14:val="tx1"/>
            </w14:solidFill>
          </w14:textFill>
        </w:rPr>
        <w:t>1根30m高排气筒</w:t>
      </w:r>
      <w:r>
        <w:rPr>
          <w:rFonts w:hint="eastAsia" w:ascii="宋体" w:hAnsi="宋体" w:cs="宋体"/>
          <w:color w:val="000000" w:themeColor="text1"/>
          <w:kern w:val="0"/>
          <w:sz w:val="24"/>
          <w:szCs w:val="24"/>
          <w:lang w:val="en-US" w:eastAsia="zh-CN"/>
          <w14:textFill>
            <w14:solidFill>
              <w14:schemeClr w14:val="tx1"/>
            </w14:solidFill>
          </w14:textFill>
        </w:rPr>
        <w:t>（DA003）排出；</w:t>
      </w:r>
      <w:r>
        <w:rPr>
          <w:rFonts w:hint="eastAsia" w:ascii="宋体" w:hAnsi="宋体" w:eastAsia="宋体" w:cs="宋体"/>
          <w:color w:val="000000" w:themeColor="text1"/>
          <w:kern w:val="0"/>
          <w:sz w:val="24"/>
          <w:szCs w:val="24"/>
          <w:lang w:val="en-US" w:eastAsia="zh-CN"/>
          <w14:textFill>
            <w14:solidFill>
              <w14:schemeClr w14:val="tx1"/>
            </w14:solidFill>
          </w14:textFill>
        </w:rPr>
        <w:t>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主要废气为非甲烷总烃，整个松香生产线为密闭生产管道收集，使用管道及密闭空间收集后采用冷凝法处理达标，从1根15m排气筒（DA002）排放；投料产生的粉状主要为颗粒物，投料过程中（投料槽、皮带运输投料口）上方均配置收尘罩及吸尘管吸尘设施，用于收集投料生产过程中产生的粉尘。收集的粉尘通过管道收集后最终进入1套脉冲布袋除尘器，粉尘经处理后由1根15m高排气筒（DA001）排放；</w:t>
      </w:r>
      <w:r>
        <w:rPr>
          <w:rFonts w:hint="eastAsia"/>
          <w:color w:val="000000" w:themeColor="text1"/>
          <w:lang w:val="en-US" w:eastAsia="zh-CN"/>
          <w14:textFill>
            <w14:solidFill>
              <w14:schemeClr w14:val="tx1"/>
            </w14:solidFill>
          </w14:textFill>
        </w:rPr>
        <w:t>若水膜除尘器、脉冲除尘器等装置发生故障或停止工作，会导致没有处理过的颗粒物，二氧化硫，氮氧化物，非甲烷总烃超标排放，将会对厂区周围的空气环境造成污染，影响厂区工作人员和附近村民健康。</w:t>
      </w:r>
    </w:p>
    <w:p w14:paraId="5D2A5658">
      <w:pPr>
        <w:pStyle w:val="40"/>
        <w:snapToGrid w:val="0"/>
        <w:spacing w:line="360" w:lineRule="auto"/>
        <w:ind w:firstLine="560"/>
        <w:rPr>
          <w:rFonts w:hint="default"/>
          <w:color w:val="000000" w:themeColor="text1"/>
          <w:lang w:val="en-US" w:eastAsia="zh-CN"/>
          <w14:textFill>
            <w14:solidFill>
              <w14:schemeClr w14:val="tx1"/>
            </w14:solidFill>
          </w14:textFill>
        </w:rPr>
      </w:pPr>
      <w:r>
        <w:rPr>
          <w:rFonts w:hint="eastAsia"/>
          <w:color w:val="000000" w:themeColor="text1"/>
          <w:lang w:val="en-US" w:eastAsia="zh-CN"/>
          <w14:textFill>
            <w14:solidFill>
              <w14:schemeClr w14:val="tx1"/>
            </w14:solidFill>
          </w14:textFill>
        </w:rPr>
        <w:t>公司软化处理废水、蒸汽发生器强排水、冷凝水、油水分离废水均进行回用，不外排，若回用设备和管道故障或破损，则会造成废水泄露，把废水中污染物和厂区地面其他废物和物质带入河道和地下，造成土壤污染和水体污染。</w:t>
      </w:r>
    </w:p>
    <w:p w14:paraId="262C3E73">
      <w:pPr>
        <w:pStyle w:val="40"/>
        <w:snapToGrid w:val="0"/>
        <w:spacing w:line="360" w:lineRule="auto"/>
        <w:ind w:left="0" w:leftChars="0" w:firstLine="0" w:firstLineChars="0"/>
        <w:outlineLvl w:val="1"/>
        <w:rPr>
          <w:rFonts w:hint="eastAsia" w:ascii="宋体" w:hAnsi="宋体" w:cs="仿宋"/>
          <w:b/>
          <w:bCs/>
          <w:color w:val="000000" w:themeColor="text1"/>
          <w:kern w:val="32"/>
          <w:sz w:val="28"/>
          <w:szCs w:val="28"/>
          <w:lang w:val="en-US" w:eastAsia="zh-CN" w:bidi="en-US"/>
          <w14:textFill>
            <w14:solidFill>
              <w14:schemeClr w14:val="tx1"/>
            </w14:solidFill>
          </w14:textFill>
        </w:rPr>
      </w:pPr>
      <w:bookmarkStart w:id="158" w:name="_Toc28084"/>
      <w:bookmarkStart w:id="159" w:name="_Toc4686"/>
      <w:bookmarkStart w:id="160" w:name="_Toc9255"/>
      <w:bookmarkStart w:id="161" w:name="_Toc50121315"/>
      <w:bookmarkStart w:id="162" w:name="_Toc51339310"/>
      <w:r>
        <w:rPr>
          <w:rFonts w:hint="eastAsia" w:ascii="宋体" w:hAnsi="宋体" w:eastAsia="宋体" w:cs="宋体"/>
          <w:b/>
          <w:bCs/>
          <w:color w:val="000000" w:themeColor="text1"/>
          <w:kern w:val="2"/>
          <w:sz w:val="28"/>
          <w:szCs w:val="28"/>
          <w:lang w:val="en-US" w:eastAsia="zh-CN"/>
          <w14:textFill>
            <w14:solidFill>
              <w14:schemeClr w14:val="tx1"/>
            </w14:solidFill>
          </w14:textFill>
        </w:rPr>
        <w:t>4.3</w:t>
      </w:r>
      <w:r>
        <w:rPr>
          <w:rFonts w:hint="eastAsia" w:ascii="宋体" w:hAnsi="宋体" w:cs="仿宋"/>
          <w:b/>
          <w:bCs/>
          <w:color w:val="000000" w:themeColor="text1"/>
          <w:kern w:val="32"/>
          <w:sz w:val="28"/>
          <w:szCs w:val="28"/>
          <w:lang w:val="en-US" w:eastAsia="zh-CN" w:bidi="en-US"/>
          <w14:textFill>
            <w14:solidFill>
              <w14:schemeClr w14:val="tx1"/>
            </w14:solidFill>
          </w14:textFill>
        </w:rPr>
        <w:t>释放环境风险物质的扩散途径、涉及环境风险防控与应急措施、应急资源情况分析</w:t>
      </w:r>
      <w:bookmarkEnd w:id="158"/>
    </w:p>
    <w:bookmarkEnd w:id="159"/>
    <w:bookmarkEnd w:id="160"/>
    <w:bookmarkEnd w:id="161"/>
    <w:bookmarkEnd w:id="162"/>
    <w:p w14:paraId="4F61F55C">
      <w:pPr>
        <w:pStyle w:val="10"/>
        <w:keepNext/>
        <w:keepLines/>
        <w:spacing w:before="140" w:beforeLines="0" w:after="140" w:afterLines="0" w:line="416" w:lineRule="auto"/>
        <w:ind w:firstLine="0" w:firstLineChars="0"/>
        <w:jc w:val="both"/>
        <w:rPr>
          <w:rFonts w:hint="eastAsia" w:ascii="宋体" w:hAnsi="宋体" w:eastAsia="宋体" w:cs="仿宋"/>
          <w:b/>
          <w:bCs w:val="0"/>
          <w:color w:val="000000" w:themeColor="text1"/>
          <w:sz w:val="28"/>
          <w:szCs w:val="28"/>
          <w:lang w:val="en-US" w:eastAsia="zh-CN"/>
          <w14:textFill>
            <w14:solidFill>
              <w14:schemeClr w14:val="tx1"/>
            </w14:solidFill>
          </w14:textFill>
        </w:rPr>
      </w:pPr>
      <w:bookmarkStart w:id="163" w:name="_Toc25857"/>
      <w:bookmarkStart w:id="164" w:name="_Toc12101"/>
      <w:bookmarkStart w:id="165" w:name="_Toc15223"/>
      <w:bookmarkStart w:id="166" w:name="_Toc13128"/>
      <w:bookmarkStart w:id="167" w:name="_Toc16491"/>
      <w:r>
        <w:rPr>
          <w:rFonts w:hint="eastAsia" w:ascii="宋体" w:hAnsi="宋体" w:eastAsia="宋体" w:cs="Times New Roman"/>
          <w:b/>
          <w:bCs/>
          <w:color w:val="000000" w:themeColor="text1"/>
          <w:sz w:val="28"/>
          <w:szCs w:val="28"/>
          <w:lang w:val="en-US" w:eastAsia="zh-CN"/>
          <w14:textFill>
            <w14:solidFill>
              <w14:schemeClr w14:val="tx1"/>
            </w14:solidFill>
          </w14:textFill>
        </w:rPr>
        <w:t>4.3.1</w:t>
      </w:r>
      <w:r>
        <w:rPr>
          <w:rFonts w:hint="eastAsia" w:ascii="宋体" w:hAnsi="宋体" w:eastAsia="宋体" w:cs="仿宋"/>
          <w:b/>
          <w:bCs w:val="0"/>
          <w:color w:val="000000" w:themeColor="text1"/>
          <w:sz w:val="28"/>
          <w:szCs w:val="28"/>
          <w:lang w:eastAsia="zh-CN"/>
          <w14:textFill>
            <w14:solidFill>
              <w14:schemeClr w14:val="tx1"/>
            </w14:solidFill>
          </w14:textFill>
        </w:rPr>
        <w:t>释放环境风险物质的扩散途径</w:t>
      </w:r>
      <w:bookmarkEnd w:id="163"/>
    </w:p>
    <w:bookmarkEnd w:id="164"/>
    <w:bookmarkEnd w:id="165"/>
    <w:bookmarkEnd w:id="166"/>
    <w:bookmarkEnd w:id="167"/>
    <w:p w14:paraId="4B8623FF">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（1）危险化学品泄漏</w:t>
      </w:r>
    </w:p>
    <w:p w14:paraId="05B32FA5">
      <w:pPr>
        <w:pStyle w:val="60"/>
        <w:snapToGrid w:val="0"/>
        <w:spacing w:line="360" w:lineRule="auto"/>
        <w:ind w:firstLine="480" w:firstLineChars="200"/>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t>安宁泰丰林化工有限公司在生产过程中涉及危险化学品的使用，在维修过程中产生的维修废机油集中收集后暂存于危险废物暂存间；</w:t>
      </w:r>
    </w:p>
    <w:p w14:paraId="3A64CF46">
      <w:pPr>
        <w:pStyle w:val="60"/>
        <w:snapToGrid w:val="0"/>
        <w:spacing w:line="360" w:lineRule="auto"/>
        <w:ind w:firstLine="480" w:firstLineChars="200"/>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pPr>
      <w:r>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t>设备检修换下的废机油易燃</w:t>
      </w:r>
      <w:r>
        <w:rPr>
          <w:rFonts w:hint="default" w:ascii="Times New Roman" w:hAnsi="Times New Roman" w:eastAsia="宋体" w:cs="Times New Roman"/>
          <w:color w:val="000000" w:themeColor="text1"/>
          <w:kern w:val="2"/>
          <w:sz w:val="24"/>
          <w:szCs w:val="22"/>
          <w:lang w:val="en-US" w:eastAsia="zh-CN" w:bidi="ar-SA"/>
          <w14:textFill>
            <w14:solidFill>
              <w14:schemeClr w14:val="tx1"/>
            </w14:solidFill>
          </w14:textFill>
        </w:rPr>
        <w:t>暂存于危废暂存间，定期委托有资质单位处理处置</w:t>
      </w:r>
      <w:r>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t>；</w:t>
      </w:r>
      <w:r>
        <w:rPr>
          <w:rFonts w:hint="default" w:ascii="Times New Roman" w:hAnsi="Times New Roman" w:eastAsia="宋体" w:cs="Times New Roman"/>
          <w:color w:val="000000" w:themeColor="text1"/>
          <w:kern w:val="2"/>
          <w:sz w:val="24"/>
          <w:szCs w:val="22"/>
          <w:lang w:val="en-US" w:eastAsia="zh-CN" w:bidi="ar-SA"/>
          <w14:textFill>
            <w14:solidFill>
              <w14:schemeClr w14:val="tx1"/>
            </w14:solidFill>
          </w14:textFill>
        </w:rPr>
        <w:t>导热油炉中的导热油需</w:t>
      </w:r>
      <w:r>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t>8-10</w:t>
      </w:r>
      <w:r>
        <w:rPr>
          <w:rFonts w:hint="default" w:ascii="Times New Roman" w:hAnsi="Times New Roman" w:eastAsia="宋体" w:cs="Times New Roman"/>
          <w:color w:val="000000" w:themeColor="text1"/>
          <w:kern w:val="2"/>
          <w:sz w:val="24"/>
          <w:szCs w:val="22"/>
          <w:lang w:val="en-US" w:eastAsia="zh-CN" w:bidi="ar-SA"/>
          <w14:textFill>
            <w14:solidFill>
              <w14:schemeClr w14:val="tx1"/>
            </w14:solidFill>
          </w14:textFill>
        </w:rPr>
        <w:t>年更换一次</w:t>
      </w:r>
      <w:r>
        <w:rPr>
          <w:rFonts w:hint="eastAsia" w:ascii="Times New Roman" w:hAnsi="Times New Roman" w:eastAsia="宋体" w:cs="Times New Roman"/>
          <w:color w:val="000000" w:themeColor="text1"/>
          <w:kern w:val="2"/>
          <w:sz w:val="24"/>
          <w:szCs w:val="22"/>
          <w:lang w:val="en-US" w:eastAsia="zh-CN" w:bidi="ar-SA"/>
          <w14:textFill>
            <w14:solidFill>
              <w14:schemeClr w14:val="tx1"/>
            </w14:solidFill>
          </w14:textFill>
        </w:rPr>
        <w:t>，由厂家进行更换回收处置。</w:t>
      </w:r>
    </w:p>
    <w:p w14:paraId="319EE229">
      <w:pPr>
        <w:pStyle w:val="40"/>
        <w:snapToGrid w:val="0"/>
        <w:spacing w:line="360" w:lineRule="auto"/>
        <w:ind w:firstLine="560"/>
        <w:rPr>
          <w:rFonts w:hint="default" w:ascii="Times New Roman" w:hAnsi="Times New Roman" w:eastAsia="宋体" w:cs="Times New Roman"/>
          <w:color w:val="000000" w:themeColor="text1"/>
          <w:kern w:val="2"/>
          <w:sz w:val="24"/>
          <w:szCs w:val="22"/>
          <w:lang w:val="en-US" w:eastAsia="zh-CN" w:bidi="ar-SA"/>
          <w14:textFill>
            <w14:solidFill>
              <w14:schemeClr w14:val="tx1"/>
            </w14:solidFill>
          </w14:textFill>
        </w:rPr>
      </w:pPr>
      <w:r>
        <w:rPr>
          <w:rFonts w:hint="eastAsia"/>
          <w:color w:val="000000" w:themeColor="text1"/>
          <w:lang w:val="en-US" w:eastAsia="zh-CN"/>
          <w14:textFill>
            <w14:solidFill>
              <w14:schemeClr w14:val="tx1"/>
            </w14:solidFill>
          </w14:textFill>
        </w:rPr>
        <w:t>成品松香易燃，</w:t>
      </w:r>
      <w:r>
        <w:rPr>
          <w:rFonts w:hint="eastAsia" w:cs="Times New Roman"/>
          <w:color w:val="000000" w:themeColor="text1"/>
          <w:szCs w:val="24"/>
          <w:lang w:val="en-US" w:eastAsia="zh-CN"/>
          <w14:textFill>
            <w14:solidFill>
              <w14:schemeClr w14:val="tx1"/>
            </w14:solidFill>
          </w14:textFill>
        </w:rPr>
        <w:t>储存在成品仓库中暂存出售，仓库防护措施和应急物资充足，</w:t>
      </w:r>
      <w:r>
        <w:rPr>
          <w:rFonts w:cs="Times New Roman"/>
          <w:color w:val="000000" w:themeColor="text1"/>
          <w:szCs w:val="24"/>
          <w14:textFill>
            <w14:solidFill>
              <w14:schemeClr w14:val="tx1"/>
            </w14:solidFill>
          </w14:textFill>
        </w:rPr>
        <w:t>在发生火灾时能够及时采取措施在最短时间内将火扑灭</w:t>
      </w:r>
    </w:p>
    <w:p w14:paraId="2C027003">
      <w:pPr>
        <w:pStyle w:val="40"/>
        <w:snapToGrid w:val="0"/>
        <w:spacing w:line="360" w:lineRule="auto"/>
        <w:ind w:firstLine="560"/>
        <w:rPr>
          <w:rFonts w:hint="eastAsia"/>
          <w:color w:val="000000" w:themeColor="text1"/>
          <w:lang w:val="en-US" w:eastAsia="zh-CN"/>
          <w14:textFill>
            <w14:solidFill>
              <w14:schemeClr w14:val="tx1"/>
            </w14:solidFill>
          </w14:textFill>
        </w:rPr>
      </w:pPr>
      <w:r>
        <w:rPr>
          <w:rFonts w:hint="eastAsia" w:eastAsia="宋体"/>
          <w:color w:val="000000" w:themeColor="text1"/>
          <w:lang w:val="en-US" w:eastAsia="zh-CN"/>
          <w14:textFill>
            <w14:solidFill>
              <w14:schemeClr w14:val="tx1"/>
            </w14:solidFill>
          </w14:textFill>
        </w:rPr>
        <w:t>废机油、导热油和废冷凝液泄露，</w:t>
      </w:r>
      <w:r>
        <w:rPr>
          <w:rFonts w:hint="eastAsia"/>
          <w:color w:val="000000" w:themeColor="text1"/>
          <w:lang w:val="en-US" w:eastAsia="zh-CN"/>
          <w14:textFill>
            <w14:solidFill>
              <w14:schemeClr w14:val="tx1"/>
            </w14:solidFill>
          </w14:textFill>
        </w:rPr>
        <w:t>对周边土壤、水环境造成影响；发生火灾时废机油和松香燃烧，对大气环境造成影响。</w:t>
      </w:r>
    </w:p>
    <w:p w14:paraId="3032E407">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（2）超标废气外排</w:t>
      </w:r>
    </w:p>
    <w:p w14:paraId="2681B969">
      <w:pPr>
        <w:pStyle w:val="40"/>
        <w:snapToGrid w:val="0"/>
        <w:spacing w:line="360" w:lineRule="auto"/>
        <w:ind w:firstLine="560"/>
        <w:rPr>
          <w:rFonts w:hint="eastAsia"/>
          <w:color w:val="000000" w:themeColor="text1"/>
          <w:lang w:val="en-US" w:eastAsia="zh-CN"/>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eastAsia="zh-CN"/>
          <w14:textFill>
            <w14:solidFill>
              <w14:schemeClr w14:val="tx1"/>
            </w14:solidFill>
          </w14:textFill>
        </w:rPr>
        <w:t>，</w:t>
      </w:r>
      <w:r>
        <w:rPr>
          <w:rFonts w:hint="eastAsia" w:ascii="宋体" w:hAnsi="宋体" w:eastAsia="宋体" w:cs="宋体"/>
          <w:color w:val="000000" w:themeColor="text1"/>
          <w:kern w:val="0"/>
          <w:sz w:val="24"/>
          <w:szCs w:val="24"/>
          <w:lang w:val="en-US" w:eastAsia="zh-CN"/>
          <w14:textFill>
            <w14:solidFill>
              <w14:schemeClr w14:val="tx1"/>
            </w14:solidFill>
          </w14:textFill>
        </w:rPr>
        <w:t>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和投料产生的粉状经除尘设备处理达标后有组织排放，</w:t>
      </w:r>
      <w:r>
        <w:rPr>
          <w:rFonts w:hint="eastAsia"/>
          <w:color w:val="000000" w:themeColor="text1"/>
          <w:lang w:val="en-US" w:eastAsia="zh-CN"/>
          <w14:textFill>
            <w14:solidFill>
              <w14:schemeClr w14:val="tx1"/>
            </w14:solidFill>
          </w14:textFill>
        </w:rPr>
        <w:t>若水膜除尘器、脉冲除尘器等废气处理装置发生故障或停止工作，会导致没有处理过的颗粒物，二氧化硫，氮氧化物，非甲烷总烃超标排放，将会对厂区周围的空气环境造成污染，影响厂区工作人员和附近村民健康。</w:t>
      </w:r>
    </w:p>
    <w:p w14:paraId="4964CC51">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3</w:t>
      </w:r>
      <w:r>
        <w:rPr>
          <w:rFonts w:hint="eastAsia" w:ascii="宋体" w:hAnsi="宋体" w:cs="仿宋"/>
          <w:color w:val="000000" w:themeColor="text1"/>
          <w:sz w:val="24"/>
          <w:szCs w:val="24"/>
          <w14:textFill>
            <w14:solidFill>
              <w14:schemeClr w14:val="tx1"/>
            </w14:solidFill>
          </w14:textFill>
        </w:rPr>
        <w:t>）危险废物泄漏</w:t>
      </w:r>
    </w:p>
    <w:p w14:paraId="365F8D32">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泄漏的危险废物主要会进入土壤、空气、地表水和地下水中。</w:t>
      </w:r>
    </w:p>
    <w:p w14:paraId="0E5B1F32">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①进入土壤，主要是进入周边的农田、荒地。</w:t>
      </w:r>
    </w:p>
    <w:p w14:paraId="523960A5">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②进入空气，会主要朝着主导风向的下风向进行扩散，然后沉降到地面，进入土壤。</w:t>
      </w:r>
    </w:p>
    <w:p w14:paraId="399404B4">
      <w:pPr>
        <w:ind w:firstLine="480" w:firstLineChars="200"/>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③进入地表水中，</w:t>
      </w:r>
      <w:r>
        <w:rPr>
          <w:rFonts w:hint="eastAsia" w:ascii="宋体" w:hAnsi="宋体" w:cs="宋体"/>
          <w:color w:val="000000" w:themeColor="text1"/>
          <w:sz w:val="24"/>
          <w:szCs w:val="24"/>
          <w:lang w:val="en-US" w:eastAsia="zh-CN"/>
          <w14:textFill>
            <w14:solidFill>
              <w14:schemeClr w14:val="tx1"/>
            </w14:solidFill>
          </w14:textFill>
        </w:rPr>
        <w:t>污染地下水源。</w:t>
      </w:r>
    </w:p>
    <w:p w14:paraId="0E402E75">
      <w:pPr>
        <w:pStyle w:val="2"/>
        <w:outlineLvl w:val="9"/>
        <w:rPr>
          <w:rFonts w:hint="eastAsia" w:ascii="宋体" w:hAnsi="宋体" w:eastAsia="宋体" w:cs="宋体"/>
          <w:color w:val="000000" w:themeColor="text1"/>
          <w:sz w:val="24"/>
          <w:szCs w:val="24"/>
          <w14:textFill>
            <w14:solidFill>
              <w14:schemeClr w14:val="tx1"/>
            </w14:solidFill>
          </w14:textFill>
        </w:rPr>
      </w:pPr>
    </w:p>
    <w:p w14:paraId="48BCE813">
      <w:pPr>
        <w:pStyle w:val="10"/>
        <w:keepNext/>
        <w:keepLines/>
        <w:spacing w:before="140" w:beforeLines="0" w:after="140" w:afterLines="0" w:line="416" w:lineRule="auto"/>
        <w:ind w:firstLine="0" w:firstLineChars="0"/>
        <w:jc w:val="both"/>
        <w:rPr>
          <w:rFonts w:hint="eastAsia" w:ascii="宋体" w:hAnsi="宋体" w:eastAsia="宋体" w:cs="宋体"/>
          <w:color w:val="000000" w:themeColor="text1"/>
          <w:sz w:val="24"/>
          <w:szCs w:val="24"/>
          <w14:textFill>
            <w14:solidFill>
              <w14:schemeClr w14:val="tx1"/>
            </w14:solidFill>
          </w14:textFill>
        </w:rPr>
      </w:pPr>
      <w:bookmarkStart w:id="168" w:name="_Toc17866"/>
      <w:r>
        <w:rPr>
          <w:rFonts w:hint="eastAsia" w:ascii="宋体" w:hAnsi="宋体" w:eastAsia="宋体" w:cs="Times New Roman"/>
          <w:b/>
          <w:bCs/>
          <w:color w:val="000000" w:themeColor="text1"/>
          <w:sz w:val="28"/>
          <w:szCs w:val="28"/>
          <w:lang w:val="en-US" w:eastAsia="zh-CN"/>
          <w14:textFill>
            <w14:solidFill>
              <w14:schemeClr w14:val="tx1"/>
            </w14:solidFill>
          </w14:textFill>
        </w:rPr>
        <w:t>4.3.2</w:t>
      </w:r>
      <w:r>
        <w:rPr>
          <w:rFonts w:hint="eastAsia" w:ascii="宋体" w:hAnsi="宋体" w:eastAsia="宋体" w:cs="仿宋"/>
          <w:b/>
          <w:bCs w:val="0"/>
          <w:color w:val="000000" w:themeColor="text1"/>
          <w:sz w:val="28"/>
          <w:szCs w:val="28"/>
          <w:lang w:eastAsia="zh-CN"/>
          <w14:textFill>
            <w14:solidFill>
              <w14:schemeClr w14:val="tx1"/>
            </w14:solidFill>
          </w14:textFill>
        </w:rPr>
        <w:t>风险防控措施</w:t>
      </w:r>
      <w:bookmarkEnd w:id="168"/>
    </w:p>
    <w:p w14:paraId="09D5C7C3">
      <w:pPr>
        <w:pStyle w:val="40"/>
        <w:snapToGrid w:val="0"/>
        <w:spacing w:line="360" w:lineRule="auto"/>
        <w:ind w:firstLine="560"/>
        <w:rPr>
          <w:rFonts w:hint="eastAsia" w:ascii="宋体" w:hAnsi="宋体" w:eastAsia="宋体" w:cs="仿宋"/>
          <w:color w:val="000000" w:themeColor="text1"/>
          <w:sz w:val="24"/>
          <w:szCs w:val="24"/>
          <w:lang w:eastAsia="zh-CN"/>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为防范事件的发生，</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范围建立必要的</w:t>
      </w:r>
      <w:r>
        <w:rPr>
          <w:rFonts w:hint="eastAsia" w:ascii="宋体" w:hAnsi="宋体" w:cs="仿宋"/>
          <w:color w:val="000000" w:themeColor="text1"/>
          <w:sz w:val="24"/>
          <w:szCs w:val="24"/>
          <w:lang w:eastAsia="zh-CN"/>
          <w14:textFill>
            <w14:solidFill>
              <w14:schemeClr w14:val="tx1"/>
            </w14:solidFill>
          </w14:textFill>
        </w:rPr>
        <w:t>防范措施。</w:t>
      </w:r>
    </w:p>
    <w:p w14:paraId="5EF35BC2">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组织进行危险源辨识、风险评价，以及环境因素的识别、评价，并按环境风险源的风险程度，以及对环境的影响程度，由厂区操作人员分层次进行监控。并针对存在的各类事故风险策划了控制措施，从以下几个方面进行风险源（重要环境因素）的监控。</w:t>
      </w:r>
    </w:p>
    <w:p w14:paraId="7A94569A">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1、</w:t>
      </w:r>
      <w:r>
        <w:rPr>
          <w:rFonts w:hint="eastAsia" w:ascii="宋体" w:hAnsi="宋体" w:cs="仿宋"/>
          <w:color w:val="000000" w:themeColor="text1"/>
          <w:sz w:val="24"/>
          <w:szCs w:val="24"/>
          <w14:textFill>
            <w14:solidFill>
              <w14:schemeClr w14:val="tx1"/>
            </w14:solidFill>
          </w14:textFill>
        </w:rPr>
        <w:t>厂区内设立专门的机构和人员负责安全、环境工作，建立日常巡回检查制度，检查有记录、有整改措施。发现隐患，及时整改，达到安全生产的目的。</w:t>
      </w:r>
    </w:p>
    <w:p w14:paraId="654FEAB5">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2、</w:t>
      </w:r>
      <w:r>
        <w:rPr>
          <w:rFonts w:hint="eastAsia" w:ascii="宋体" w:hAnsi="宋体" w:cs="仿宋"/>
          <w:color w:val="000000" w:themeColor="text1"/>
          <w:sz w:val="24"/>
          <w:szCs w:val="24"/>
          <w14:textFill>
            <w14:solidFill>
              <w14:schemeClr w14:val="tx1"/>
            </w14:solidFill>
          </w14:textFill>
        </w:rPr>
        <w:t>设施设备按要求每年进行一次安全检测并整改至合格；建立健全各项生产安全管理制度、操作规程；严格岗前培训考核制度、配备相应的防护用品，作业场所严禁无关人员进入；检维修工作必须在安全管理部门及公司领导的审批确认安全后方可进行。</w:t>
      </w:r>
    </w:p>
    <w:p w14:paraId="5EBC2889">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3、</w:t>
      </w:r>
      <w:r>
        <w:rPr>
          <w:rFonts w:hint="eastAsia" w:ascii="宋体" w:hAnsi="宋体" w:cs="仿宋"/>
          <w:color w:val="000000" w:themeColor="text1"/>
          <w:sz w:val="24"/>
          <w:szCs w:val="24"/>
          <w14:textFill>
            <w14:solidFill>
              <w14:schemeClr w14:val="tx1"/>
            </w14:solidFill>
          </w14:textFill>
        </w:rPr>
        <w:t>加强管理，在生产、储运等各个环节明确责任主体，建立相应的管理制度，使厂区的各项工作有章可循，各项运行状况可控。公司在关键部位配置事故应急柜，放置工作服、</w:t>
      </w:r>
      <w:r>
        <w:rPr>
          <w:rFonts w:hint="eastAsia" w:ascii="宋体" w:hAnsi="宋体" w:cs="仿宋"/>
          <w:color w:val="000000" w:themeColor="text1"/>
          <w:sz w:val="24"/>
          <w:szCs w:val="24"/>
          <w:lang w:eastAsia="zh-CN"/>
          <w14:textFill>
            <w14:solidFill>
              <w14:schemeClr w14:val="tx1"/>
            </w14:solidFill>
          </w14:textFill>
        </w:rPr>
        <w:t>工作</w:t>
      </w:r>
      <w:r>
        <w:rPr>
          <w:rFonts w:hint="eastAsia" w:ascii="宋体" w:hAnsi="宋体" w:cs="仿宋"/>
          <w:color w:val="000000" w:themeColor="text1"/>
          <w:sz w:val="24"/>
          <w:szCs w:val="24"/>
          <w14:textFill>
            <w14:solidFill>
              <w14:schemeClr w14:val="tx1"/>
            </w14:solidFill>
          </w14:textFill>
        </w:rPr>
        <w:t>手套等应急器材，在现场配备有足够的</w:t>
      </w:r>
      <w:r>
        <w:rPr>
          <w:rFonts w:hint="eastAsia" w:ascii="宋体" w:hAnsi="宋体" w:cs="仿宋"/>
          <w:color w:val="000000" w:themeColor="text1"/>
          <w:sz w:val="24"/>
          <w:szCs w:val="24"/>
          <w:lang w:eastAsia="zh-CN"/>
          <w14:textFill>
            <w14:solidFill>
              <w14:schemeClr w14:val="tx1"/>
            </w14:solidFill>
          </w14:textFill>
        </w:rPr>
        <w:t>应急</w:t>
      </w:r>
      <w:r>
        <w:rPr>
          <w:rFonts w:hint="eastAsia" w:ascii="宋体" w:hAnsi="宋体" w:cs="仿宋"/>
          <w:color w:val="000000" w:themeColor="text1"/>
          <w:sz w:val="24"/>
          <w:szCs w:val="24"/>
          <w14:textFill>
            <w14:solidFill>
              <w14:schemeClr w14:val="tx1"/>
            </w14:solidFill>
          </w14:textFill>
        </w:rPr>
        <w:t>物资，并设自来水冲洗点、灭火器、消防栓等应急设施。</w:t>
      </w:r>
    </w:p>
    <w:p w14:paraId="531F8C55">
      <w:pPr>
        <w:pStyle w:val="7"/>
        <w:rPr>
          <w:rFonts w:hint="eastAsia" w:ascii="宋体" w:hAnsi="宋体" w:eastAsia="宋体" w:cs="宋体"/>
          <w:color w:val="000000" w:themeColor="text1"/>
          <w:sz w:val="24"/>
          <w:szCs w:val="24"/>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4、</w:t>
      </w:r>
      <w:r>
        <w:rPr>
          <w:rFonts w:hint="eastAsia" w:ascii="宋体" w:hAnsi="宋体" w:cs="仿宋"/>
          <w:color w:val="000000" w:themeColor="text1"/>
          <w:sz w:val="24"/>
          <w:szCs w:val="24"/>
          <w14:textFill>
            <w14:solidFill>
              <w14:schemeClr w14:val="tx1"/>
            </w14:solidFill>
          </w14:textFill>
        </w:rPr>
        <w:t>每天有专人进行巡回检查，发现问题及时上报或处理。</w:t>
      </w:r>
    </w:p>
    <w:p w14:paraId="5B918559">
      <w:pPr>
        <w:pStyle w:val="56"/>
        <w:snapToGrid w:val="0"/>
        <w:spacing w:before="156" w:beforeLines="50" w:after="156" w:afterLines="50" w:line="240" w:lineRule="auto"/>
        <w:outlineLvl w:val="1"/>
        <w:rPr>
          <w:rFonts w:hint="eastAsia" w:ascii="宋体" w:hAnsi="宋体" w:cs="仿宋"/>
          <w:color w:val="000000" w:themeColor="text1"/>
          <w:sz w:val="28"/>
          <w:szCs w:val="28"/>
          <w:lang w:eastAsia="zh-CN"/>
          <w14:textFill>
            <w14:solidFill>
              <w14:schemeClr w14:val="tx1"/>
            </w14:solidFill>
          </w14:textFill>
        </w:rPr>
      </w:pPr>
      <w:bookmarkStart w:id="169" w:name="_Toc14611"/>
      <w:bookmarkStart w:id="170" w:name="_Toc29803"/>
      <w:bookmarkStart w:id="171" w:name="_Toc2600"/>
      <w:bookmarkStart w:id="172" w:name="_Toc13454"/>
      <w:r>
        <w:rPr>
          <w:rFonts w:hint="eastAsia" w:ascii="宋体" w:hAnsi="宋体" w:cs="仿宋"/>
          <w:color w:val="000000" w:themeColor="text1"/>
          <w:sz w:val="28"/>
          <w:szCs w:val="28"/>
          <w:lang w:val="en-US" w:eastAsia="zh-CN"/>
          <w14:textFill>
            <w14:solidFill>
              <w14:schemeClr w14:val="tx1"/>
            </w14:solidFill>
          </w14:textFill>
        </w:rPr>
        <w:t>4</w:t>
      </w:r>
      <w:r>
        <w:rPr>
          <w:rFonts w:hint="eastAsia" w:ascii="宋体" w:hAnsi="宋体" w:cs="仿宋"/>
          <w:color w:val="000000" w:themeColor="text1"/>
          <w:sz w:val="28"/>
          <w:szCs w:val="28"/>
          <w:lang w:eastAsia="zh-CN"/>
          <w14:textFill>
            <w14:solidFill>
              <w14:schemeClr w14:val="tx1"/>
            </w14:solidFill>
          </w14:textFill>
        </w:rPr>
        <w:t>.4突发环境事件危害后果分析</w:t>
      </w:r>
      <w:bookmarkEnd w:id="169"/>
      <w:bookmarkEnd w:id="170"/>
      <w:bookmarkEnd w:id="171"/>
      <w:bookmarkEnd w:id="172"/>
    </w:p>
    <w:p w14:paraId="1B0A6737">
      <w:pPr>
        <w:pStyle w:val="57"/>
        <w:snapToGrid w:val="0"/>
        <w:spacing w:before="0" w:after="0" w:line="360" w:lineRule="auto"/>
        <w:outlineLvl w:val="2"/>
        <w:rPr>
          <w:rFonts w:hint="eastAsia" w:ascii="宋体" w:hAnsi="宋体" w:cs="仿宋"/>
          <w:b/>
          <w:bCs w:val="0"/>
          <w:color w:val="000000" w:themeColor="text1"/>
          <w:sz w:val="28"/>
          <w:szCs w:val="28"/>
          <w14:textFill>
            <w14:solidFill>
              <w14:schemeClr w14:val="tx1"/>
            </w14:solidFill>
          </w14:textFill>
        </w:rPr>
      </w:pPr>
      <w:bookmarkStart w:id="173" w:name="_Toc27966"/>
      <w:bookmarkStart w:id="174" w:name="_Toc19743"/>
      <w:bookmarkStart w:id="175" w:name="_Toc24884"/>
      <w:bookmarkStart w:id="176" w:name="_Toc2532"/>
      <w:bookmarkStart w:id="177" w:name="_Toc8506"/>
      <w:r>
        <w:rPr>
          <w:rFonts w:hint="eastAsia" w:ascii="宋体" w:hAnsi="宋体" w:cs="仿宋"/>
          <w:b/>
          <w:bCs w:val="0"/>
          <w:color w:val="000000" w:themeColor="text1"/>
          <w:sz w:val="28"/>
          <w:szCs w:val="28"/>
          <w:lang w:val="en-US" w:eastAsia="zh-CN"/>
          <w14:textFill>
            <w14:solidFill>
              <w14:schemeClr w14:val="tx1"/>
            </w14:solidFill>
          </w14:textFill>
        </w:rPr>
        <w:t>4</w:t>
      </w:r>
      <w:r>
        <w:rPr>
          <w:rFonts w:hint="eastAsia" w:ascii="宋体" w:hAnsi="宋体" w:cs="仿宋"/>
          <w:b/>
          <w:bCs w:val="0"/>
          <w:color w:val="000000" w:themeColor="text1"/>
          <w:sz w:val="28"/>
          <w:szCs w:val="28"/>
          <w14:textFill>
            <w14:solidFill>
              <w14:schemeClr w14:val="tx1"/>
            </w14:solidFill>
          </w14:textFill>
        </w:rPr>
        <w:t>.4.1</w:t>
      </w:r>
      <w:r>
        <w:rPr>
          <w:rFonts w:hint="eastAsia" w:ascii="宋体" w:hAnsi="宋体" w:cs="仿宋"/>
          <w:b/>
          <w:bCs w:val="0"/>
          <w:color w:val="000000" w:themeColor="text1"/>
          <w:sz w:val="28"/>
          <w:szCs w:val="28"/>
          <w:lang w:val="en-US" w:eastAsia="zh-CN"/>
          <w14:textFill>
            <w14:solidFill>
              <w14:schemeClr w14:val="tx1"/>
            </w14:solidFill>
          </w14:textFill>
        </w:rPr>
        <w:t xml:space="preserve"> 废气处理</w:t>
      </w:r>
      <w:r>
        <w:rPr>
          <w:rFonts w:hint="eastAsia" w:ascii="宋体" w:hAnsi="宋体" w:eastAsia="宋体" w:cs="仿宋"/>
          <w:b/>
          <w:bCs w:val="0"/>
          <w:color w:val="000000" w:themeColor="text1"/>
          <w:sz w:val="28"/>
          <w:szCs w:val="28"/>
          <w:lang w:val="en-US" w:eastAsia="zh-CN"/>
          <w14:textFill>
            <w14:solidFill>
              <w14:schemeClr w14:val="tx1"/>
            </w14:solidFill>
          </w14:textFill>
        </w:rPr>
        <w:t>装置</w:t>
      </w:r>
      <w:r>
        <w:rPr>
          <w:rFonts w:hint="eastAsia" w:ascii="宋体" w:hAnsi="宋体" w:eastAsia="宋体" w:cs="仿宋"/>
          <w:b/>
          <w:bCs w:val="0"/>
          <w:color w:val="000000" w:themeColor="text1"/>
          <w:sz w:val="28"/>
          <w:szCs w:val="28"/>
          <w14:textFill>
            <w14:solidFill>
              <w14:schemeClr w14:val="tx1"/>
            </w14:solidFill>
          </w14:textFill>
        </w:rPr>
        <w:t>故障</w:t>
      </w:r>
      <w:r>
        <w:rPr>
          <w:rFonts w:hint="eastAsia" w:ascii="宋体" w:hAnsi="宋体" w:cs="仿宋"/>
          <w:b/>
          <w:bCs w:val="0"/>
          <w:color w:val="000000" w:themeColor="text1"/>
          <w:sz w:val="28"/>
          <w:szCs w:val="28"/>
          <w:lang w:val="en-US" w:eastAsia="zh-CN"/>
          <w14:textFill>
            <w14:solidFill>
              <w14:schemeClr w14:val="tx1"/>
            </w14:solidFill>
          </w14:textFill>
        </w:rPr>
        <w:t>导致废气</w:t>
      </w:r>
      <w:r>
        <w:rPr>
          <w:rFonts w:hint="eastAsia" w:ascii="宋体" w:hAnsi="宋体" w:cs="仿宋"/>
          <w:b/>
          <w:bCs w:val="0"/>
          <w:color w:val="000000" w:themeColor="text1"/>
          <w:sz w:val="28"/>
          <w:szCs w:val="28"/>
          <w14:textFill>
            <w14:solidFill>
              <w14:schemeClr w14:val="tx1"/>
            </w14:solidFill>
          </w14:textFill>
        </w:rPr>
        <w:t>超标排放危害后果分析</w:t>
      </w:r>
      <w:bookmarkEnd w:id="173"/>
      <w:bookmarkEnd w:id="174"/>
      <w:bookmarkEnd w:id="175"/>
      <w:bookmarkEnd w:id="176"/>
      <w:bookmarkEnd w:id="177"/>
    </w:p>
    <w:p w14:paraId="123C682B">
      <w:pPr>
        <w:spacing w:line="360" w:lineRule="auto"/>
        <w:ind w:firstLine="460" w:firstLineChars="192"/>
        <w:rPr>
          <w:rFonts w:hint="eastAsia" w:ascii="宋体" w:hAnsi="宋体" w:cs="宋体"/>
          <w:color w:val="000000" w:themeColor="text1"/>
          <w:kern w:val="0"/>
          <w:sz w:val="24"/>
          <w:szCs w:val="24"/>
          <w:lang w:eastAsia="zh-CN"/>
          <w14:textFill>
            <w14:solidFill>
              <w14:schemeClr w14:val="tx1"/>
            </w14:solidFill>
          </w14:textFill>
        </w:rPr>
      </w:pPr>
      <w:r>
        <w:rPr>
          <w:rFonts w:hint="eastAsia" w:ascii="宋体" w:hAnsi="宋体" w:cs="宋体"/>
          <w:color w:val="000000" w:themeColor="text1"/>
          <w:kern w:val="0"/>
          <w:sz w:val="24"/>
          <w:szCs w:val="24"/>
          <w:lang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1</w:t>
      </w:r>
      <w:r>
        <w:rPr>
          <w:rFonts w:hint="eastAsia" w:ascii="宋体" w:hAnsi="宋体" w:cs="宋体"/>
          <w:color w:val="000000" w:themeColor="text1"/>
          <w:kern w:val="0"/>
          <w:sz w:val="24"/>
          <w:szCs w:val="24"/>
          <w:lang w:eastAsia="zh-CN"/>
          <w14:textFill>
            <w14:solidFill>
              <w14:schemeClr w14:val="tx1"/>
            </w14:solidFill>
          </w14:textFill>
        </w:rPr>
        <w:t>）</w:t>
      </w: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eastAsia="zh-CN"/>
          <w14:textFill>
            <w14:solidFill>
              <w14:schemeClr w14:val="tx1"/>
            </w14:solidFill>
          </w14:textFill>
        </w:rPr>
        <w:t>：</w:t>
      </w:r>
    </w:p>
    <w:p w14:paraId="50E1801D">
      <w:pPr>
        <w:spacing w:line="360" w:lineRule="auto"/>
        <w:ind w:firstLine="460" w:firstLineChars="192"/>
        <w:rPr>
          <w:rFonts w:hint="eastAsia" w:ascii="宋体" w:hAnsi="宋体" w:eastAsia="宋体" w:cs="宋体"/>
          <w:color w:val="000000" w:themeColor="text1"/>
          <w:kern w:val="0"/>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val="en-US" w:eastAsia="zh-CN"/>
          <w14:textFill>
            <w14:solidFill>
              <w14:schemeClr w14:val="tx1"/>
            </w14:solidFill>
          </w14:textFill>
        </w:rPr>
        <w:t>主要有颗粒物，二氧化硫和氮氧化</w:t>
      </w:r>
      <w:r>
        <w:rPr>
          <w:rFonts w:hint="eastAsia" w:ascii="宋体" w:hAnsi="宋体" w:eastAsia="宋体" w:cs="宋体"/>
          <w:color w:val="000000" w:themeColor="text1"/>
          <w:kern w:val="0"/>
          <w:sz w:val="24"/>
          <w:szCs w:val="24"/>
          <w:lang w:val="en-US" w:eastAsia="zh-CN"/>
          <w14:textFill>
            <w14:solidFill>
              <w14:schemeClr w14:val="tx1"/>
            </w14:solidFill>
          </w14:textFill>
        </w:rPr>
        <w:t>物，</w:t>
      </w:r>
      <w:r>
        <w:rPr>
          <w:rFonts w:hint="eastAsia" w:ascii="宋体" w:hAnsi="宋体" w:eastAsia="宋体" w:cs="宋体"/>
          <w:color w:val="000000" w:themeColor="text1"/>
          <w:kern w:val="0"/>
          <w:sz w:val="24"/>
          <w:szCs w:val="24"/>
          <w14:textFill>
            <w14:solidFill>
              <w14:schemeClr w14:val="tx1"/>
            </w14:solidFill>
          </w14:textFill>
        </w:rPr>
        <w:t>锅炉燃料燃烧废气</w:t>
      </w:r>
      <w:r>
        <w:rPr>
          <w:rFonts w:hint="eastAsia" w:ascii="宋体" w:hAnsi="宋体" w:cs="宋体"/>
          <w:color w:val="000000" w:themeColor="text1"/>
          <w:kern w:val="0"/>
          <w:sz w:val="24"/>
          <w:szCs w:val="24"/>
          <w:lang w:val="en-US" w:eastAsia="zh-CN"/>
          <w14:textFill>
            <w14:solidFill>
              <w14:schemeClr w14:val="tx1"/>
            </w14:solidFill>
          </w14:textFill>
        </w:rPr>
        <w:t>经</w:t>
      </w:r>
      <w:r>
        <w:rPr>
          <w:rFonts w:hint="eastAsia" w:ascii="宋体" w:hAnsi="宋体" w:eastAsia="宋体" w:cs="宋体"/>
          <w:color w:val="000000" w:themeColor="text1"/>
          <w:kern w:val="0"/>
          <w:sz w:val="24"/>
          <w:szCs w:val="24"/>
          <w14:textFill>
            <w14:solidFill>
              <w14:schemeClr w14:val="tx1"/>
            </w14:solidFill>
          </w14:textFill>
        </w:rPr>
        <w:t>旋风除尘器+布袋除尘器+水膜除尘器</w:t>
      </w:r>
      <w:r>
        <w:rPr>
          <w:rFonts w:hint="eastAsia" w:ascii="宋体" w:hAnsi="宋体" w:cs="宋体"/>
          <w:color w:val="000000" w:themeColor="text1"/>
          <w:kern w:val="0"/>
          <w:sz w:val="24"/>
          <w:szCs w:val="24"/>
          <w:lang w:val="en-US" w:eastAsia="zh-CN"/>
          <w14:textFill>
            <w14:solidFill>
              <w14:schemeClr w14:val="tx1"/>
            </w14:solidFill>
          </w14:textFill>
        </w:rPr>
        <w:t>处理达标后，经</w:t>
      </w:r>
      <w:r>
        <w:rPr>
          <w:rFonts w:hint="eastAsia" w:ascii="宋体" w:hAnsi="宋体" w:eastAsia="宋体" w:cs="宋体"/>
          <w:color w:val="000000" w:themeColor="text1"/>
          <w:kern w:val="0"/>
          <w:sz w:val="24"/>
          <w:szCs w:val="24"/>
          <w14:textFill>
            <w14:solidFill>
              <w14:schemeClr w14:val="tx1"/>
            </w14:solidFill>
          </w14:textFill>
        </w:rPr>
        <w:t>1根30m高排气筒</w:t>
      </w:r>
      <w:r>
        <w:rPr>
          <w:rFonts w:hint="eastAsia" w:ascii="宋体" w:hAnsi="宋体" w:cs="宋体"/>
          <w:color w:val="000000" w:themeColor="text1"/>
          <w:kern w:val="0"/>
          <w:sz w:val="24"/>
          <w:szCs w:val="24"/>
          <w:lang w:val="en-US" w:eastAsia="zh-CN"/>
          <w14:textFill>
            <w14:solidFill>
              <w14:schemeClr w14:val="tx1"/>
            </w14:solidFill>
          </w14:textFill>
        </w:rPr>
        <w:t>（DA003）排出。二氧化硫和氮氧化物</w:t>
      </w:r>
      <w:r>
        <w:rPr>
          <w:rFonts w:hint="eastAsia" w:ascii="宋体" w:hAnsi="宋体" w:eastAsia="宋体" w:cs="宋体"/>
          <w:color w:val="000000" w:themeColor="text1"/>
          <w:kern w:val="0"/>
          <w:sz w:val="24"/>
          <w:szCs w:val="24"/>
          <w:lang w:val="en-US" w:eastAsia="zh-CN"/>
          <w14:textFill>
            <w14:solidFill>
              <w14:schemeClr w14:val="tx1"/>
            </w14:solidFill>
          </w14:textFill>
        </w:rPr>
        <w:t>有强烈刺激性气味，人吸入大量高浓度SO2后,可使深部呼吸道和肺组织受损,引起肺部充血、肺水肿或产生反射性喉头痉挛而导致窒息致死。SO2还能与血液中的硫胺素结合破坏酶的过程,导致糖及蛋白质的代谢障碍,从而引起脑、肝、脾等组织发生退行性变。</w:t>
      </w:r>
      <w:r>
        <w:rPr>
          <w:rFonts w:hint="eastAsia" w:ascii="宋体" w:hAnsi="宋体" w:cs="宋体"/>
          <w:color w:val="000000" w:themeColor="text1"/>
          <w:kern w:val="0"/>
          <w:sz w:val="24"/>
          <w:szCs w:val="24"/>
          <w:lang w:val="en-US" w:eastAsia="zh-CN"/>
          <w14:textFill>
            <w14:solidFill>
              <w14:schemeClr w14:val="tx1"/>
            </w14:solidFill>
          </w14:textFill>
        </w:rPr>
        <w:t>若</w:t>
      </w:r>
      <w:r>
        <w:rPr>
          <w:rFonts w:hint="eastAsia" w:ascii="宋体" w:hAnsi="宋体" w:eastAsia="宋体" w:cs="宋体"/>
          <w:color w:val="000000" w:themeColor="text1"/>
          <w:kern w:val="0"/>
          <w:sz w:val="24"/>
          <w:szCs w:val="24"/>
          <w14:textFill>
            <w14:solidFill>
              <w14:schemeClr w14:val="tx1"/>
            </w14:solidFill>
          </w14:textFill>
        </w:rPr>
        <w:t>旋风除尘器+布袋除尘器+水膜除尘器</w:t>
      </w:r>
      <w:r>
        <w:rPr>
          <w:rFonts w:hint="eastAsia" w:ascii="宋体" w:hAnsi="宋体" w:cs="宋体"/>
          <w:color w:val="000000" w:themeColor="text1"/>
          <w:kern w:val="0"/>
          <w:sz w:val="24"/>
          <w:szCs w:val="24"/>
          <w:lang w:val="en-US" w:eastAsia="zh-CN"/>
          <w14:textFill>
            <w14:solidFill>
              <w14:schemeClr w14:val="tx1"/>
            </w14:solidFill>
          </w14:textFill>
        </w:rPr>
        <w:t>损坏或故障，</w:t>
      </w:r>
      <w:r>
        <w:rPr>
          <w:rFonts w:hint="eastAsia" w:ascii="宋体" w:hAnsi="宋体" w:eastAsia="宋体" w:cs="宋体"/>
          <w:color w:val="000000" w:themeColor="text1"/>
          <w:kern w:val="0"/>
          <w:sz w:val="24"/>
          <w:szCs w:val="24"/>
          <w:lang w:val="en-US" w:eastAsia="zh-CN"/>
          <w14:textFill>
            <w14:solidFill>
              <w14:schemeClr w14:val="tx1"/>
            </w14:solidFill>
          </w14:textFill>
        </w:rPr>
        <w:t>将会</w:t>
      </w:r>
      <w:r>
        <w:rPr>
          <w:rFonts w:hint="eastAsia" w:ascii="宋体" w:hAnsi="宋体" w:cs="宋体"/>
          <w:color w:val="000000" w:themeColor="text1"/>
          <w:kern w:val="0"/>
          <w:sz w:val="24"/>
          <w:szCs w:val="24"/>
          <w:lang w:val="en-US" w:eastAsia="zh-CN"/>
          <w14:textFill>
            <w14:solidFill>
              <w14:schemeClr w14:val="tx1"/>
            </w14:solidFill>
          </w14:textFill>
        </w:rPr>
        <w:t>导致</w:t>
      </w:r>
      <w:r>
        <w:rPr>
          <w:rFonts w:hint="eastAsia" w:ascii="宋体" w:hAnsi="宋体" w:eastAsia="宋体" w:cs="宋体"/>
          <w:color w:val="000000" w:themeColor="text1"/>
          <w:kern w:val="0"/>
          <w:sz w:val="24"/>
          <w:szCs w:val="24"/>
          <w14:textFill>
            <w14:solidFill>
              <w14:schemeClr w14:val="tx1"/>
            </w14:solidFill>
          </w14:textFill>
        </w:rPr>
        <w:t>生物质锅炉燃料燃烧废气</w:t>
      </w:r>
      <w:r>
        <w:rPr>
          <w:rFonts w:hint="eastAsia" w:ascii="宋体" w:hAnsi="宋体" w:cs="宋体"/>
          <w:color w:val="000000" w:themeColor="text1"/>
          <w:kern w:val="0"/>
          <w:sz w:val="24"/>
          <w:szCs w:val="24"/>
          <w:lang w:val="en-US" w:eastAsia="zh-CN"/>
          <w14:textFill>
            <w14:solidFill>
              <w14:schemeClr w14:val="tx1"/>
            </w14:solidFill>
          </w14:textFill>
        </w:rPr>
        <w:t>超标排放，</w:t>
      </w:r>
      <w:r>
        <w:rPr>
          <w:rFonts w:hint="eastAsia" w:ascii="宋体" w:hAnsi="宋体" w:eastAsia="宋体" w:cs="宋体"/>
          <w:color w:val="000000" w:themeColor="text1"/>
          <w:kern w:val="0"/>
          <w:sz w:val="24"/>
          <w:szCs w:val="24"/>
          <w:lang w:val="en-US" w:eastAsia="zh-CN"/>
          <w14:textFill>
            <w14:solidFill>
              <w14:schemeClr w14:val="tx1"/>
            </w14:solidFill>
          </w14:textFill>
        </w:rPr>
        <w:t>对厂区周围的空气环境造成污染，影响厂区工作人员和附近村民健康。</w:t>
      </w:r>
    </w:p>
    <w:p w14:paraId="742B3CC6">
      <w:pPr>
        <w:spacing w:line="360" w:lineRule="auto"/>
        <w:ind w:firstLine="460" w:firstLineChars="192"/>
        <w:rPr>
          <w:rFonts w:hint="eastAsia" w:ascii="宋体" w:hAnsi="宋体" w:cs="宋体"/>
          <w:color w:val="000000" w:themeColor="text1"/>
          <w:kern w:val="0"/>
          <w:sz w:val="24"/>
          <w:szCs w:val="24"/>
          <w:lang w:val="en-US" w:eastAsia="zh-CN"/>
          <w14:textFill>
            <w14:solidFill>
              <w14:schemeClr w14:val="tx1"/>
            </w14:solidFill>
          </w14:textFill>
        </w:rPr>
      </w:pPr>
      <w:r>
        <w:rPr>
          <w:rFonts w:hint="eastAsia" w:ascii="宋体" w:hAnsi="宋体" w:cs="宋体"/>
          <w:color w:val="000000" w:themeColor="text1"/>
          <w:kern w:val="0"/>
          <w:sz w:val="24"/>
          <w:szCs w:val="24"/>
          <w:lang w:val="en-US" w:eastAsia="zh-CN"/>
          <w14:textFill>
            <w14:solidFill>
              <w14:schemeClr w14:val="tx1"/>
            </w14:solidFill>
          </w14:textFill>
        </w:rPr>
        <w:t>（2）</w:t>
      </w:r>
      <w:r>
        <w:rPr>
          <w:rFonts w:hint="eastAsia" w:ascii="宋体" w:hAnsi="宋体" w:eastAsia="宋体" w:cs="宋体"/>
          <w:color w:val="000000" w:themeColor="text1"/>
          <w:kern w:val="0"/>
          <w:sz w:val="24"/>
          <w:szCs w:val="24"/>
          <w:lang w:val="en-US" w:eastAsia="zh-CN"/>
          <w14:textFill>
            <w14:solidFill>
              <w14:schemeClr w14:val="tx1"/>
            </w14:solidFill>
          </w14:textFill>
        </w:rPr>
        <w:t>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w:t>
      </w:r>
    </w:p>
    <w:p w14:paraId="754B54AB">
      <w:pPr>
        <w:spacing w:line="360" w:lineRule="auto"/>
        <w:ind w:firstLine="460" w:firstLineChars="192"/>
        <w:rPr>
          <w:rFonts w:hint="default" w:ascii="宋体" w:hAnsi="宋体" w:cs="宋体"/>
          <w:color w:val="000000" w:themeColor="text1"/>
          <w:kern w:val="0"/>
          <w:sz w:val="24"/>
          <w:szCs w:val="24"/>
          <w:lang w:val="en-US" w:eastAsia="zh-CN"/>
          <w14:textFill>
            <w14:solidFill>
              <w14:schemeClr w14:val="tx1"/>
            </w14:solidFill>
          </w14:textFill>
        </w:rPr>
      </w:pPr>
      <w:r>
        <w:rPr>
          <w:rFonts w:hint="eastAsia" w:ascii="宋体" w:hAnsi="宋体" w:eastAsia="宋体" w:cs="宋体"/>
          <w:color w:val="000000" w:themeColor="text1"/>
          <w:kern w:val="0"/>
          <w:sz w:val="24"/>
          <w:szCs w:val="24"/>
          <w:lang w:val="en-US" w:eastAsia="zh-CN"/>
          <w14:textFill>
            <w14:solidFill>
              <w14:schemeClr w14:val="tx1"/>
            </w14:solidFill>
          </w14:textFill>
        </w:rPr>
        <w:t>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主要废气为非甲烷总烃，整个松香生产线为密闭生产管道收集，在每个溶解锅、蒸馏锅排气口设计风机及管道，使用管道及密闭空间收集后采用冷凝法处理达标，从1根15m排气筒（DA002）排放。若管道及密闭空间破损，废气未进行冷凝处理，直接泄露，</w:t>
      </w:r>
      <w:r>
        <w:rPr>
          <w:rFonts w:hint="eastAsia" w:ascii="宋体" w:hAnsi="宋体" w:eastAsia="宋体" w:cs="宋体"/>
          <w:color w:val="000000" w:themeColor="text1"/>
          <w:kern w:val="0"/>
          <w:sz w:val="24"/>
          <w:szCs w:val="24"/>
          <w:lang w:val="en-US" w:eastAsia="zh-CN"/>
          <w14:textFill>
            <w14:solidFill>
              <w14:schemeClr w14:val="tx1"/>
            </w14:solidFill>
          </w14:textFill>
        </w:rPr>
        <w:t>将会</w:t>
      </w:r>
      <w:r>
        <w:rPr>
          <w:rFonts w:hint="eastAsia" w:ascii="宋体" w:hAnsi="宋体" w:cs="宋体"/>
          <w:color w:val="000000" w:themeColor="text1"/>
          <w:kern w:val="0"/>
          <w:sz w:val="24"/>
          <w:szCs w:val="24"/>
          <w:lang w:val="en-US" w:eastAsia="zh-CN"/>
          <w14:textFill>
            <w14:solidFill>
              <w14:schemeClr w14:val="tx1"/>
            </w14:solidFill>
          </w14:textFill>
        </w:rPr>
        <w:t>导致</w:t>
      </w:r>
      <w:r>
        <w:rPr>
          <w:rFonts w:hint="eastAsia" w:ascii="宋体" w:hAnsi="宋体" w:eastAsia="宋体" w:cs="宋体"/>
          <w:color w:val="000000" w:themeColor="text1"/>
          <w:kern w:val="0"/>
          <w:sz w:val="24"/>
          <w:szCs w:val="24"/>
          <w:lang w:val="en-US" w:eastAsia="zh-CN"/>
          <w14:textFill>
            <w14:solidFill>
              <w14:schemeClr w14:val="tx1"/>
            </w14:solidFill>
          </w14:textFill>
        </w:rPr>
        <w:t>松香溶解、蒸馏过程有机废气</w:t>
      </w:r>
      <w:r>
        <w:rPr>
          <w:rFonts w:hint="eastAsia" w:ascii="宋体" w:hAnsi="宋体" w:cs="宋体"/>
          <w:color w:val="000000" w:themeColor="text1"/>
          <w:kern w:val="0"/>
          <w:sz w:val="24"/>
          <w:szCs w:val="24"/>
          <w:lang w:val="en-US" w:eastAsia="zh-CN"/>
          <w14:textFill>
            <w14:solidFill>
              <w14:schemeClr w14:val="tx1"/>
            </w14:solidFill>
          </w14:textFill>
        </w:rPr>
        <w:t>非甲烷总烃超标排放，</w:t>
      </w:r>
      <w:r>
        <w:rPr>
          <w:rFonts w:hint="eastAsia" w:ascii="宋体" w:hAnsi="宋体" w:eastAsia="宋体" w:cs="宋体"/>
          <w:color w:val="000000" w:themeColor="text1"/>
          <w:kern w:val="0"/>
          <w:sz w:val="24"/>
          <w:szCs w:val="24"/>
          <w:lang w:val="en-US" w:eastAsia="zh-CN"/>
          <w14:textFill>
            <w14:solidFill>
              <w14:schemeClr w14:val="tx1"/>
            </w14:solidFill>
          </w14:textFill>
        </w:rPr>
        <w:t>对厂区周围的空气环境造成污染，影响厂区工作人员和附近村民健康。</w:t>
      </w:r>
    </w:p>
    <w:p w14:paraId="21AA7E75">
      <w:pPr>
        <w:spacing w:line="360" w:lineRule="auto"/>
        <w:ind w:firstLine="460" w:firstLineChars="192"/>
        <w:rPr>
          <w:rFonts w:hint="eastAsia" w:ascii="宋体" w:hAnsi="宋体" w:cs="宋体"/>
          <w:color w:val="000000" w:themeColor="text1"/>
          <w:kern w:val="0"/>
          <w:sz w:val="24"/>
          <w:szCs w:val="24"/>
          <w:lang w:eastAsia="zh-CN"/>
          <w14:textFill>
            <w14:solidFill>
              <w14:schemeClr w14:val="tx1"/>
            </w14:solidFill>
          </w14:textFill>
        </w:rPr>
      </w:pPr>
      <w:r>
        <w:rPr>
          <w:rFonts w:hint="eastAsia" w:ascii="宋体" w:hAnsi="宋体" w:cs="宋体"/>
          <w:color w:val="000000" w:themeColor="text1"/>
          <w:kern w:val="0"/>
          <w:sz w:val="24"/>
          <w:szCs w:val="24"/>
          <w:lang w:eastAsia="zh-CN"/>
          <w14:textFill>
            <w14:solidFill>
              <w14:schemeClr w14:val="tx1"/>
            </w14:solidFill>
          </w14:textFill>
        </w:rPr>
        <w:t>（</w:t>
      </w:r>
      <w:r>
        <w:rPr>
          <w:rFonts w:hint="eastAsia" w:ascii="宋体" w:hAnsi="宋体" w:cs="宋体"/>
          <w:color w:val="000000" w:themeColor="text1"/>
          <w:kern w:val="0"/>
          <w:sz w:val="24"/>
          <w:szCs w:val="24"/>
          <w:lang w:val="en-US" w:eastAsia="zh-CN"/>
          <w14:textFill>
            <w14:solidFill>
              <w14:schemeClr w14:val="tx1"/>
            </w14:solidFill>
          </w14:textFill>
        </w:rPr>
        <w:t>3</w:t>
      </w:r>
      <w:r>
        <w:rPr>
          <w:rFonts w:hint="eastAsia" w:ascii="宋体" w:hAnsi="宋体" w:cs="宋体"/>
          <w:color w:val="000000" w:themeColor="text1"/>
          <w:kern w:val="0"/>
          <w:sz w:val="24"/>
          <w:szCs w:val="24"/>
          <w:lang w:eastAsia="zh-CN"/>
          <w14:textFill>
            <w14:solidFill>
              <w14:schemeClr w14:val="tx1"/>
            </w14:solidFill>
          </w14:textFill>
        </w:rPr>
        <w:t>）</w:t>
      </w:r>
      <w:r>
        <w:rPr>
          <w:rFonts w:hint="eastAsia" w:ascii="宋体" w:hAnsi="宋体" w:eastAsia="宋体" w:cs="宋体"/>
          <w:color w:val="000000" w:themeColor="text1"/>
          <w:kern w:val="0"/>
          <w:sz w:val="24"/>
          <w:szCs w:val="24"/>
          <w14:textFill>
            <w14:solidFill>
              <w14:schemeClr w14:val="tx1"/>
            </w14:solidFill>
          </w14:textFill>
        </w:rPr>
        <w:t>投料粉尘</w:t>
      </w:r>
      <w:r>
        <w:rPr>
          <w:rFonts w:hint="eastAsia" w:ascii="宋体" w:hAnsi="宋体" w:cs="宋体"/>
          <w:color w:val="000000" w:themeColor="text1"/>
          <w:kern w:val="0"/>
          <w:sz w:val="24"/>
          <w:szCs w:val="24"/>
          <w:lang w:eastAsia="zh-CN"/>
          <w14:textFill>
            <w14:solidFill>
              <w14:schemeClr w14:val="tx1"/>
            </w14:solidFill>
          </w14:textFill>
        </w:rPr>
        <w:t>：</w:t>
      </w:r>
    </w:p>
    <w:p w14:paraId="23894D4B">
      <w:pPr>
        <w:spacing w:line="360" w:lineRule="auto"/>
        <w:ind w:firstLine="460" w:firstLineChars="192"/>
        <w:rPr>
          <w:rFonts w:hint="eastAsia" w:ascii="Segoe UI" w:hAnsi="Segoe UI" w:cs="Segoe UI"/>
          <w:i w:val="0"/>
          <w:iCs w:val="0"/>
          <w:caps w:val="0"/>
          <w:color w:val="000000" w:themeColor="text1"/>
          <w:spacing w:val="0"/>
          <w:sz w:val="24"/>
          <w:szCs w:val="24"/>
          <w:shd w:val="clear" w:color="auto" w:fill="FFFFFF"/>
          <w:lang w:eastAsia="zh-CN"/>
          <w14:textFill>
            <w14:solidFill>
              <w14:schemeClr w14:val="tx1"/>
            </w14:solidFill>
          </w14:textFill>
        </w:rPr>
      </w:pPr>
      <w:r>
        <w:rPr>
          <w:rFonts w:hint="eastAsia" w:ascii="宋体" w:hAnsi="宋体" w:cs="宋体"/>
          <w:color w:val="000000" w:themeColor="text1"/>
          <w:kern w:val="0"/>
          <w:sz w:val="24"/>
          <w:szCs w:val="24"/>
          <w:lang w:val="en-US" w:eastAsia="zh-CN"/>
          <w14:textFill>
            <w14:solidFill>
              <w14:schemeClr w14:val="tx1"/>
            </w14:solidFill>
          </w14:textFill>
        </w:rPr>
        <w:t>投料产生的粉状主要为颗粒物，投料过程中（投料槽、皮带运输投料口）上方均配置收尘罩及吸尘管吸尘设施，用于收集投料生产过程中产生的粉尘。收集的粉尘通过管道收集后最终进入1套脉冲布袋除尘器，粉尘经处理后由1根15m高排气筒（DA001）排放。若除尘器故障或损坏，粉尘直接泄露，大量吸入粉尘影响厂内员工身体健康，对周围村庄也会有一定影响。</w:t>
      </w:r>
    </w:p>
    <w:p w14:paraId="086E68EC">
      <w:pPr>
        <w:pStyle w:val="57"/>
        <w:snapToGrid w:val="0"/>
        <w:spacing w:before="0" w:after="0" w:line="360" w:lineRule="auto"/>
        <w:outlineLvl w:val="2"/>
        <w:rPr>
          <w:rFonts w:hint="eastAsia" w:ascii="宋体" w:hAnsi="宋体" w:cs="仿宋"/>
          <w:b/>
          <w:bCs w:val="0"/>
          <w:color w:val="000000" w:themeColor="text1"/>
          <w:sz w:val="28"/>
          <w:szCs w:val="28"/>
          <w14:textFill>
            <w14:solidFill>
              <w14:schemeClr w14:val="tx1"/>
            </w14:solidFill>
          </w14:textFill>
        </w:rPr>
      </w:pPr>
      <w:bookmarkStart w:id="178" w:name="_Toc23060"/>
      <w:bookmarkStart w:id="179" w:name="_Toc31229"/>
      <w:bookmarkStart w:id="180" w:name="_Toc23018"/>
      <w:bookmarkStart w:id="181" w:name="_Toc7034"/>
      <w:bookmarkStart w:id="182" w:name="_Toc32223"/>
      <w:r>
        <w:rPr>
          <w:rFonts w:hint="eastAsia" w:ascii="宋体" w:hAnsi="宋体" w:cs="仿宋"/>
          <w:b/>
          <w:bCs w:val="0"/>
          <w:color w:val="000000" w:themeColor="text1"/>
          <w:sz w:val="28"/>
          <w:szCs w:val="28"/>
          <w:lang w:val="en-US" w:eastAsia="zh-CN"/>
          <w14:textFill>
            <w14:solidFill>
              <w14:schemeClr w14:val="tx1"/>
            </w14:solidFill>
          </w14:textFill>
        </w:rPr>
        <w:t>4</w:t>
      </w:r>
      <w:r>
        <w:rPr>
          <w:rFonts w:hint="eastAsia" w:ascii="宋体" w:hAnsi="宋体" w:cs="仿宋"/>
          <w:b/>
          <w:bCs w:val="0"/>
          <w:color w:val="000000" w:themeColor="text1"/>
          <w:sz w:val="28"/>
          <w:szCs w:val="28"/>
          <w14:textFill>
            <w14:solidFill>
              <w14:schemeClr w14:val="tx1"/>
            </w14:solidFill>
          </w14:textFill>
        </w:rPr>
        <w:t>.4.</w:t>
      </w:r>
      <w:r>
        <w:rPr>
          <w:rFonts w:hint="eastAsia" w:ascii="宋体" w:hAnsi="宋体" w:cs="仿宋"/>
          <w:b/>
          <w:bCs w:val="0"/>
          <w:color w:val="000000" w:themeColor="text1"/>
          <w:sz w:val="28"/>
          <w:szCs w:val="28"/>
          <w:lang w:val="en-US" w:eastAsia="zh-CN"/>
          <w14:textFill>
            <w14:solidFill>
              <w14:schemeClr w14:val="tx1"/>
            </w14:solidFill>
          </w14:textFill>
        </w:rPr>
        <w:t>2</w:t>
      </w:r>
      <w:r>
        <w:rPr>
          <w:rFonts w:hint="eastAsia" w:ascii="宋体" w:hAnsi="宋体" w:cs="仿宋"/>
          <w:b/>
          <w:bCs w:val="0"/>
          <w:color w:val="000000" w:themeColor="text1"/>
          <w:sz w:val="28"/>
          <w:szCs w:val="28"/>
          <w14:textFill>
            <w14:solidFill>
              <w14:schemeClr w14:val="tx1"/>
            </w14:solidFill>
          </w14:textFill>
        </w:rPr>
        <w:t>危险废物污染事故危险后果分析</w:t>
      </w:r>
      <w:bookmarkEnd w:id="178"/>
      <w:bookmarkEnd w:id="179"/>
      <w:bookmarkEnd w:id="180"/>
      <w:bookmarkEnd w:id="181"/>
      <w:bookmarkEnd w:id="182"/>
    </w:p>
    <w:p w14:paraId="5F54DA66">
      <w:pPr>
        <w:pStyle w:val="40"/>
        <w:snapToGrid w:val="0"/>
        <w:spacing w:line="360" w:lineRule="auto"/>
        <w:ind w:firstLine="560"/>
        <w:rPr>
          <w:rFonts w:hint="eastAsia" w:ascii="宋体" w:hAnsi="宋体" w:cs="仿宋"/>
          <w:color w:val="000000" w:themeColor="text1"/>
          <w:sz w:val="24"/>
          <w:szCs w:val="24"/>
          <w:lang w:eastAsia="zh-CN"/>
          <w14:textFill>
            <w14:solidFill>
              <w14:schemeClr w14:val="tx1"/>
            </w14:solidFill>
          </w14:textFill>
        </w:rPr>
      </w:pPr>
    </w:p>
    <w:p w14:paraId="325D5AE5">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设有</w:t>
      </w:r>
      <w:r>
        <w:rPr>
          <w:rFonts w:hint="eastAsia" w:ascii="宋体" w:hAnsi="宋体" w:cs="仿宋"/>
          <w:color w:val="000000" w:themeColor="text1"/>
          <w:sz w:val="24"/>
          <w:szCs w:val="24"/>
          <w:lang w:eastAsia="zh-CN"/>
          <w14:textFill>
            <w14:solidFill>
              <w14:schemeClr w14:val="tx1"/>
            </w14:solidFill>
          </w14:textFill>
        </w:rPr>
        <w:t>危险废物暂存间</w:t>
      </w:r>
      <w:r>
        <w:rPr>
          <w:rFonts w:hint="eastAsia" w:ascii="宋体" w:hAnsi="宋体" w:cs="仿宋"/>
          <w:color w:val="000000" w:themeColor="text1"/>
          <w:sz w:val="24"/>
          <w:szCs w:val="24"/>
          <w14:textFill>
            <w14:solidFill>
              <w14:schemeClr w14:val="tx1"/>
            </w14:solidFill>
          </w14:textFill>
        </w:rPr>
        <w:t>，存储有</w:t>
      </w:r>
      <w:r>
        <w:rPr>
          <w:rFonts w:hint="eastAsia"/>
          <w:color w:val="000000" w:themeColor="text1"/>
          <w:lang w:eastAsia="zh-CN"/>
          <w14:textFill>
            <w14:solidFill>
              <w14:schemeClr w14:val="tx1"/>
            </w14:solidFill>
          </w14:textFill>
        </w:rPr>
        <w:t>废</w:t>
      </w:r>
      <w:r>
        <w:rPr>
          <w:rFonts w:hint="eastAsia" w:ascii="宋体" w:hAnsi="宋体" w:cs="仿宋"/>
          <w:color w:val="000000" w:themeColor="text1"/>
          <w:sz w:val="24"/>
          <w:szCs w:val="24"/>
          <w:lang w:val="en-US" w:eastAsia="zh-CN"/>
          <w14:textFill>
            <w14:solidFill>
              <w14:schemeClr w14:val="tx1"/>
            </w14:solidFill>
          </w14:textFill>
        </w:rPr>
        <w:t>机油，废导热油由厂家进行更换回收，不暂存公司内</w:t>
      </w:r>
      <w:r>
        <w:rPr>
          <w:rFonts w:hint="eastAsia" w:ascii="宋体" w:hAnsi="宋体" w:cs="仿宋"/>
          <w:color w:val="000000" w:themeColor="text1"/>
          <w:sz w:val="24"/>
          <w:szCs w:val="24"/>
          <w14:textFill>
            <w14:solidFill>
              <w14:schemeClr w14:val="tx1"/>
            </w14:solidFill>
          </w14:textFill>
        </w:rPr>
        <w:t>。</w:t>
      </w:r>
      <w:r>
        <w:rPr>
          <w:rFonts w:hint="eastAsia" w:ascii="宋体" w:hAnsi="宋体" w:cs="仿宋"/>
          <w:color w:val="000000" w:themeColor="text1"/>
          <w:sz w:val="24"/>
          <w:szCs w:val="24"/>
          <w:lang w:eastAsia="zh-CN"/>
          <w14:textFill>
            <w14:solidFill>
              <w14:schemeClr w14:val="tx1"/>
            </w14:solidFill>
          </w14:textFill>
        </w:rPr>
        <w:t>危险废物暂存间</w:t>
      </w:r>
      <w:r>
        <w:rPr>
          <w:rFonts w:hint="eastAsia" w:ascii="宋体" w:hAnsi="宋体" w:cs="仿宋"/>
          <w:color w:val="000000" w:themeColor="text1"/>
          <w:sz w:val="24"/>
          <w:szCs w:val="24"/>
          <w14:textFill>
            <w14:solidFill>
              <w14:schemeClr w14:val="tx1"/>
            </w14:solidFill>
          </w14:textFill>
        </w:rPr>
        <w:t>内设有</w:t>
      </w:r>
      <w:r>
        <w:rPr>
          <w:rFonts w:hint="eastAsia" w:ascii="宋体" w:hAnsi="宋体" w:cs="仿宋"/>
          <w:color w:val="000000" w:themeColor="text1"/>
          <w:sz w:val="24"/>
          <w:szCs w:val="24"/>
          <w:lang w:eastAsia="zh-CN"/>
          <w14:textFill>
            <w14:solidFill>
              <w14:schemeClr w14:val="tx1"/>
            </w14:solidFill>
          </w14:textFill>
        </w:rPr>
        <w:t>托盘</w:t>
      </w:r>
      <w:r>
        <w:rPr>
          <w:rFonts w:hint="eastAsia" w:ascii="宋体" w:hAnsi="宋体" w:cs="仿宋"/>
          <w:color w:val="000000" w:themeColor="text1"/>
          <w:sz w:val="24"/>
          <w:szCs w:val="24"/>
          <w14:textFill>
            <w14:solidFill>
              <w14:schemeClr w14:val="tx1"/>
            </w14:solidFill>
          </w14:textFill>
        </w:rPr>
        <w:t>。一旦废</w:t>
      </w:r>
      <w:r>
        <w:rPr>
          <w:rFonts w:hint="eastAsia" w:ascii="宋体" w:hAnsi="宋体" w:cs="仿宋"/>
          <w:color w:val="000000" w:themeColor="text1"/>
          <w:sz w:val="24"/>
          <w:szCs w:val="24"/>
          <w:lang w:val="en-US" w:eastAsia="zh-CN"/>
          <w14:textFill>
            <w14:solidFill>
              <w14:schemeClr w14:val="tx1"/>
            </w14:solidFill>
          </w14:textFill>
        </w:rPr>
        <w:t>机油</w:t>
      </w:r>
      <w:r>
        <w:rPr>
          <w:rFonts w:hint="eastAsia" w:ascii="宋体" w:hAnsi="宋体" w:cs="仿宋"/>
          <w:color w:val="000000" w:themeColor="text1"/>
          <w:sz w:val="24"/>
          <w:szCs w:val="24"/>
          <w14:textFill>
            <w14:solidFill>
              <w14:schemeClr w14:val="tx1"/>
            </w14:solidFill>
          </w14:textFill>
        </w:rPr>
        <w:t>出现泄漏，</w:t>
      </w:r>
      <w:r>
        <w:rPr>
          <w:rFonts w:hint="eastAsia" w:ascii="宋体" w:hAnsi="宋体" w:cs="仿宋"/>
          <w:color w:val="000000" w:themeColor="text1"/>
          <w:sz w:val="24"/>
          <w:szCs w:val="24"/>
          <w:lang w:eastAsia="zh-CN"/>
          <w14:textFill>
            <w14:solidFill>
              <w14:schemeClr w14:val="tx1"/>
            </w14:solidFill>
          </w14:textFill>
        </w:rPr>
        <w:t>托盘可以</w:t>
      </w:r>
      <w:r>
        <w:rPr>
          <w:rFonts w:hint="eastAsia" w:ascii="宋体" w:hAnsi="宋体" w:cs="仿宋"/>
          <w:color w:val="000000" w:themeColor="text1"/>
          <w:sz w:val="24"/>
          <w:szCs w:val="24"/>
          <w14:textFill>
            <w14:solidFill>
              <w14:schemeClr w14:val="tx1"/>
            </w14:solidFill>
          </w14:textFill>
        </w:rPr>
        <w:t>第一时间进行收集后处置。</w:t>
      </w:r>
      <w:r>
        <w:rPr>
          <w:rFonts w:hint="eastAsia" w:ascii="宋体" w:hAnsi="宋体" w:cs="仿宋"/>
          <w:color w:val="000000" w:themeColor="text1"/>
          <w:sz w:val="24"/>
          <w:szCs w:val="24"/>
          <w:lang w:eastAsia="zh-CN"/>
          <w14:textFill>
            <w14:solidFill>
              <w14:schemeClr w14:val="tx1"/>
            </w14:solidFill>
          </w14:textFill>
        </w:rPr>
        <w:t>废机油</w:t>
      </w:r>
      <w:r>
        <w:rPr>
          <w:rFonts w:hint="eastAsia" w:ascii="宋体" w:hAnsi="宋体" w:cs="仿宋"/>
          <w:color w:val="000000" w:themeColor="text1"/>
          <w:sz w:val="24"/>
          <w:szCs w:val="24"/>
          <w:lang w:val="en-US" w:eastAsia="zh-CN"/>
          <w14:textFill>
            <w14:solidFill>
              <w14:schemeClr w14:val="tx1"/>
            </w14:solidFill>
          </w14:textFill>
        </w:rPr>
        <w:t>液</w:t>
      </w:r>
      <w:r>
        <w:rPr>
          <w:rFonts w:hint="eastAsia" w:ascii="宋体" w:hAnsi="宋体" w:cs="仿宋"/>
          <w:color w:val="000000" w:themeColor="text1"/>
          <w:sz w:val="24"/>
          <w:szCs w:val="24"/>
          <w14:textFill>
            <w14:solidFill>
              <w14:schemeClr w14:val="tx1"/>
            </w14:solidFill>
          </w14:textFill>
        </w:rPr>
        <w:t>泄漏后，如果不进行处理，随着时间的推移，泄漏的</w:t>
      </w:r>
      <w:r>
        <w:rPr>
          <w:rFonts w:hint="eastAsia" w:ascii="宋体" w:hAnsi="宋体" w:cs="仿宋"/>
          <w:color w:val="000000" w:themeColor="text1"/>
          <w:sz w:val="24"/>
          <w:szCs w:val="24"/>
          <w:lang w:val="en-US" w:eastAsia="zh-CN"/>
          <w14:textFill>
            <w14:solidFill>
              <w14:schemeClr w14:val="tx1"/>
            </w14:solidFill>
          </w14:textFill>
        </w:rPr>
        <w:t>废油</w:t>
      </w:r>
      <w:r>
        <w:rPr>
          <w:rFonts w:hint="eastAsia" w:ascii="宋体" w:hAnsi="宋体" w:cs="仿宋"/>
          <w:color w:val="000000" w:themeColor="text1"/>
          <w:sz w:val="24"/>
          <w:szCs w:val="24"/>
          <w14:textFill>
            <w14:solidFill>
              <w14:schemeClr w14:val="tx1"/>
            </w14:solidFill>
          </w14:textFill>
        </w:rPr>
        <w:t>先在地下水非饱和带垂向入渗，最后污染物会进入到地下水，对地下水造成污染。同时，</w:t>
      </w:r>
      <w:r>
        <w:rPr>
          <w:rFonts w:hint="eastAsia" w:ascii="宋体" w:hAnsi="宋体" w:cs="仿宋"/>
          <w:color w:val="000000" w:themeColor="text1"/>
          <w:sz w:val="24"/>
          <w:szCs w:val="24"/>
          <w:lang w:eastAsia="zh-CN"/>
          <w14:textFill>
            <w14:solidFill>
              <w14:schemeClr w14:val="tx1"/>
            </w14:solidFill>
          </w14:textFill>
        </w:rPr>
        <w:t>废机油</w:t>
      </w:r>
      <w:r>
        <w:rPr>
          <w:rFonts w:hint="eastAsia" w:ascii="宋体" w:hAnsi="宋体" w:cs="仿宋"/>
          <w:color w:val="000000" w:themeColor="text1"/>
          <w:sz w:val="24"/>
          <w:szCs w:val="24"/>
          <w14:textFill>
            <w14:solidFill>
              <w14:schemeClr w14:val="tx1"/>
            </w14:solidFill>
          </w14:textFill>
        </w:rPr>
        <w:t>在移动过程中，会部分残留在小孔隙中，成为土壤的长期污染源。</w:t>
      </w:r>
    </w:p>
    <w:p w14:paraId="69B0DDD6">
      <w:pPr>
        <w:pStyle w:val="57"/>
        <w:snapToGrid w:val="0"/>
        <w:spacing w:before="0" w:after="0" w:line="360" w:lineRule="auto"/>
        <w:outlineLvl w:val="2"/>
        <w:rPr>
          <w:rFonts w:hint="eastAsia" w:ascii="宋体" w:hAnsi="宋体" w:eastAsia="宋体" w:cs="仿宋"/>
          <w:color w:val="000000" w:themeColor="text1"/>
          <w:sz w:val="28"/>
          <w:szCs w:val="28"/>
          <w:lang w:eastAsia="zh-CN"/>
          <w14:textFill>
            <w14:solidFill>
              <w14:schemeClr w14:val="tx1"/>
            </w14:solidFill>
          </w14:textFill>
        </w:rPr>
      </w:pPr>
      <w:bookmarkStart w:id="183" w:name="_Toc5949"/>
      <w:bookmarkStart w:id="184" w:name="_Toc30432"/>
      <w:r>
        <w:rPr>
          <w:rFonts w:hint="eastAsia" w:ascii="宋体" w:hAnsi="宋体" w:cs="仿宋"/>
          <w:b/>
          <w:bCs w:val="0"/>
          <w:color w:val="000000" w:themeColor="text1"/>
          <w:sz w:val="28"/>
          <w:szCs w:val="28"/>
          <w:lang w:val="en-US" w:eastAsia="zh-CN"/>
          <w14:textFill>
            <w14:solidFill>
              <w14:schemeClr w14:val="tx1"/>
            </w14:solidFill>
          </w14:textFill>
        </w:rPr>
        <w:t>4</w:t>
      </w:r>
      <w:r>
        <w:rPr>
          <w:rFonts w:hint="eastAsia" w:ascii="宋体" w:hAnsi="宋体" w:cs="仿宋"/>
          <w:b/>
          <w:bCs w:val="0"/>
          <w:color w:val="000000" w:themeColor="text1"/>
          <w:sz w:val="28"/>
          <w:szCs w:val="28"/>
          <w14:textFill>
            <w14:solidFill>
              <w14:schemeClr w14:val="tx1"/>
            </w14:solidFill>
          </w14:textFill>
        </w:rPr>
        <w:t>.</w:t>
      </w:r>
      <w:r>
        <w:rPr>
          <w:rFonts w:hint="eastAsia" w:ascii="宋体" w:hAnsi="宋体" w:cs="仿宋"/>
          <w:b/>
          <w:bCs w:val="0"/>
          <w:color w:val="000000" w:themeColor="text1"/>
          <w:sz w:val="28"/>
          <w:szCs w:val="28"/>
          <w:lang w:val="en-US" w:eastAsia="zh-CN"/>
          <w14:textFill>
            <w14:solidFill>
              <w14:schemeClr w14:val="tx1"/>
            </w14:solidFill>
          </w14:textFill>
        </w:rPr>
        <w:t>4</w:t>
      </w:r>
      <w:r>
        <w:rPr>
          <w:rFonts w:hint="eastAsia" w:ascii="宋体" w:hAnsi="宋体" w:cs="仿宋"/>
          <w:b/>
          <w:bCs w:val="0"/>
          <w:color w:val="000000" w:themeColor="text1"/>
          <w:sz w:val="28"/>
          <w:szCs w:val="28"/>
          <w14:textFill>
            <w14:solidFill>
              <w14:schemeClr w14:val="tx1"/>
            </w14:solidFill>
          </w14:textFill>
        </w:rPr>
        <w:t>.</w:t>
      </w:r>
      <w:r>
        <w:rPr>
          <w:rFonts w:hint="eastAsia" w:ascii="宋体" w:hAnsi="宋体" w:cs="仿宋"/>
          <w:b/>
          <w:bCs w:val="0"/>
          <w:color w:val="000000" w:themeColor="text1"/>
          <w:sz w:val="28"/>
          <w:szCs w:val="28"/>
          <w:lang w:val="en-US" w:eastAsia="zh-CN"/>
          <w14:textFill>
            <w14:solidFill>
              <w14:schemeClr w14:val="tx1"/>
            </w14:solidFill>
          </w14:textFill>
        </w:rPr>
        <w:t>3</w:t>
      </w:r>
      <w:r>
        <w:rPr>
          <w:rFonts w:hint="eastAsia" w:ascii="宋体" w:hAnsi="宋体" w:cs="仿宋"/>
          <w:b/>
          <w:bCs w:val="0"/>
          <w:color w:val="000000" w:themeColor="text1"/>
          <w:sz w:val="28"/>
          <w:szCs w:val="28"/>
          <w:lang w:eastAsia="zh-CN"/>
          <w14:textFill>
            <w14:solidFill>
              <w14:schemeClr w14:val="tx1"/>
            </w14:solidFill>
          </w14:textFill>
        </w:rPr>
        <w:t>火灾、爆炸</w:t>
      </w:r>
      <w:bookmarkEnd w:id="183"/>
      <w:bookmarkEnd w:id="184"/>
    </w:p>
    <w:p w14:paraId="054B0A32">
      <w:pPr>
        <w:pStyle w:val="7"/>
        <w:keepNext w:val="0"/>
        <w:keepLines w:val="0"/>
        <w:pageBreakBefore w:val="0"/>
        <w:widowControl/>
        <w:kinsoku/>
        <w:wordWrap/>
        <w:overflowPunct/>
        <w:topLinePunct w:val="0"/>
        <w:autoSpaceDE w:val="0"/>
        <w:autoSpaceDN w:val="0"/>
        <w:bidi w:val="0"/>
        <w:adjustRightInd/>
        <w:snapToGrid/>
        <w:spacing w:line="360" w:lineRule="auto"/>
        <w:textAlignment w:val="auto"/>
        <w:rPr>
          <w:rFonts w:hint="eastAsia" w:ascii="宋体" w:hAnsi="宋体" w:eastAsia="宋体" w:cs="仿宋"/>
          <w:color w:val="000000" w:themeColor="text1"/>
          <w:kern w:val="2"/>
          <w:sz w:val="24"/>
          <w:szCs w:val="24"/>
          <w:lang w:val="en-US" w:eastAsia="zh-CN" w:bidi="ar-SA"/>
          <w14:textFill>
            <w14:solidFill>
              <w14:schemeClr w14:val="tx1"/>
            </w14:solidFill>
          </w14:textFill>
        </w:rPr>
      </w:pPr>
      <w:r>
        <w:rPr>
          <w:rFonts w:hint="eastAsia" w:ascii="宋体" w:hAnsi="宋体" w:eastAsia="宋体" w:cs="仿宋"/>
          <w:color w:val="000000" w:themeColor="text1"/>
          <w:kern w:val="2"/>
          <w:sz w:val="24"/>
          <w:szCs w:val="24"/>
          <w:lang w:val="en-US" w:eastAsia="zh-CN" w:bidi="ar-SA"/>
          <w14:textFill>
            <w14:solidFill>
              <w14:schemeClr w14:val="tx1"/>
            </w14:solidFill>
          </w14:textFill>
        </w:rPr>
        <w:t>废机油造成泄漏并遇明火后，可能引发火灾，厂区设置了灭火器，当废机油造成泄漏并遇明火后，应第一时间通知车间人员撤离，快速切断泄漏源，然后再进行灭火处理</w:t>
      </w:r>
      <w:r>
        <w:rPr>
          <w:rFonts w:hint="eastAsia" w:hAnsi="宋体" w:cs="仿宋"/>
          <w:color w:val="000000" w:themeColor="text1"/>
          <w:kern w:val="2"/>
          <w:sz w:val="24"/>
          <w:szCs w:val="24"/>
          <w:lang w:val="en-US" w:eastAsia="zh-CN" w:bidi="ar-SA"/>
          <w14:textFill>
            <w14:solidFill>
              <w14:schemeClr w14:val="tx1"/>
            </w14:solidFill>
          </w14:textFill>
        </w:rPr>
        <w:t>。</w:t>
      </w:r>
    </w:p>
    <w:p w14:paraId="4FD2BC97">
      <w:pPr>
        <w:pStyle w:val="7"/>
        <w:rPr>
          <w:rFonts w:hint="eastAsia" w:ascii="宋体" w:hAnsi="宋体" w:cs="宋体"/>
          <w:color w:val="000000" w:themeColor="text1"/>
          <w:szCs w:val="28"/>
          <w:lang w:eastAsia="zh-CN"/>
          <w14:textFill>
            <w14:solidFill>
              <w14:schemeClr w14:val="tx1"/>
            </w14:solidFill>
          </w14:textFill>
        </w:rPr>
      </w:pPr>
    </w:p>
    <w:p w14:paraId="5F845AA7">
      <w:pPr>
        <w:pStyle w:val="58"/>
        <w:snapToGrid w:val="0"/>
        <w:spacing w:before="156" w:beforeLines="50" w:after="156" w:afterLines="50" w:line="240" w:lineRule="auto"/>
        <w:rPr>
          <w:rFonts w:hint="eastAsia" w:ascii="宋体" w:hAnsi="宋体" w:cs="仿宋"/>
          <w:color w:val="000000" w:themeColor="text1"/>
          <w:sz w:val="30"/>
          <w:szCs w:val="30"/>
          <w:lang w:eastAsia="zh-CN"/>
          <w14:textFill>
            <w14:solidFill>
              <w14:schemeClr w14:val="tx1"/>
            </w14:solidFill>
          </w14:textFill>
        </w:rPr>
      </w:pPr>
      <w:bookmarkStart w:id="185" w:name="_Toc10693"/>
      <w:bookmarkStart w:id="186" w:name="_Toc24318"/>
      <w:bookmarkStart w:id="187" w:name="_Toc26433"/>
      <w:bookmarkStart w:id="188" w:name="_Toc15263"/>
      <w:r>
        <w:rPr>
          <w:rFonts w:hint="eastAsia" w:ascii="宋体" w:hAnsi="宋体" w:cs="仿宋"/>
          <w:color w:val="000000" w:themeColor="text1"/>
          <w:sz w:val="30"/>
          <w:szCs w:val="30"/>
          <w:lang w:val="en-US" w:eastAsia="zh-CN"/>
          <w14:textFill>
            <w14:solidFill>
              <w14:schemeClr w14:val="tx1"/>
            </w14:solidFill>
          </w14:textFill>
        </w:rPr>
        <w:t>5</w:t>
      </w:r>
      <w:r>
        <w:rPr>
          <w:rFonts w:hint="eastAsia" w:ascii="宋体" w:hAnsi="宋体" w:cs="仿宋"/>
          <w:color w:val="000000" w:themeColor="text1"/>
          <w:sz w:val="30"/>
          <w:szCs w:val="30"/>
          <w:lang w:eastAsia="zh-CN"/>
          <w14:textFill>
            <w14:solidFill>
              <w14:schemeClr w14:val="tx1"/>
            </w14:solidFill>
          </w14:textFill>
        </w:rPr>
        <w:t xml:space="preserve"> 现有环境风险防控和应急措施差距分析</w:t>
      </w:r>
      <w:bookmarkEnd w:id="185"/>
      <w:bookmarkEnd w:id="186"/>
      <w:bookmarkEnd w:id="187"/>
      <w:bookmarkEnd w:id="188"/>
    </w:p>
    <w:p w14:paraId="572920A2">
      <w:pPr>
        <w:pStyle w:val="7"/>
        <w:rPr>
          <w:rFonts w:hint="eastAsia" w:ascii="宋体" w:hAnsi="宋体" w:cs="宋体"/>
          <w:color w:val="000000" w:themeColor="text1"/>
          <w:szCs w:val="28"/>
          <w:lang w:eastAsia="zh-CN"/>
          <w14:textFill>
            <w14:solidFill>
              <w14:schemeClr w14:val="tx1"/>
            </w14:solidFill>
          </w14:textFill>
        </w:rPr>
      </w:pPr>
    </w:p>
    <w:p w14:paraId="00B8D3B1">
      <w:pPr>
        <w:pStyle w:val="56"/>
        <w:snapToGrid w:val="0"/>
        <w:spacing w:before="0" w:after="0" w:line="360" w:lineRule="auto"/>
        <w:outlineLvl w:val="1"/>
        <w:rPr>
          <w:rFonts w:hint="eastAsia" w:ascii="宋体" w:hAnsi="宋体" w:cs="仿宋"/>
          <w:color w:val="000000" w:themeColor="text1"/>
          <w:sz w:val="28"/>
          <w:szCs w:val="28"/>
          <w14:textFill>
            <w14:solidFill>
              <w14:schemeClr w14:val="tx1"/>
            </w14:solidFill>
          </w14:textFill>
        </w:rPr>
      </w:pPr>
      <w:bookmarkStart w:id="189" w:name="_Toc751"/>
      <w:bookmarkStart w:id="190" w:name="_Toc21796"/>
      <w:bookmarkStart w:id="191" w:name="_Toc2155"/>
      <w:bookmarkStart w:id="192" w:name="_Toc31448"/>
      <w:r>
        <w:rPr>
          <w:rFonts w:hint="eastAsia" w:ascii="宋体" w:hAnsi="宋体" w:cs="仿宋"/>
          <w:color w:val="000000" w:themeColor="text1"/>
          <w:sz w:val="28"/>
          <w:szCs w:val="28"/>
          <w:lang w:val="en-US" w:eastAsia="zh-CN"/>
          <w14:textFill>
            <w14:solidFill>
              <w14:schemeClr w14:val="tx1"/>
            </w14:solidFill>
          </w14:textFill>
        </w:rPr>
        <w:t>5</w:t>
      </w:r>
      <w:r>
        <w:rPr>
          <w:rFonts w:hint="eastAsia" w:ascii="宋体" w:hAnsi="宋体" w:cs="仿宋"/>
          <w:color w:val="000000" w:themeColor="text1"/>
          <w:sz w:val="28"/>
          <w:szCs w:val="28"/>
          <w14:textFill>
            <w14:solidFill>
              <w14:schemeClr w14:val="tx1"/>
            </w14:solidFill>
          </w14:textFill>
        </w:rPr>
        <w:t>.1环境风险管理制度</w:t>
      </w:r>
      <w:bookmarkEnd w:id="189"/>
      <w:bookmarkEnd w:id="190"/>
      <w:bookmarkEnd w:id="191"/>
      <w:bookmarkEnd w:id="192"/>
    </w:p>
    <w:p w14:paraId="2BDED823">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针对厂内环境风险单元编制了《</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突发环境事件应急预案》建立了环境风险防控和应急措施制度，明确了环境风险防控重点岗位的责任机构，全面落实了定期巡检和维护责任制度；</w:t>
      </w:r>
    </w:p>
    <w:p w14:paraId="2FB0283B">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严格按照环保的要求落实各项环境风险防控和应急措施；</w:t>
      </w:r>
    </w:p>
    <w:p w14:paraId="2B89C63B">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（3）定期对职工开展环境风险和环境应急管理宣传和培训，在站内显著位置标识风险物质危险特性、急救措施等标识牌，每月开展班组安全教育活动，不定期的组织员工进行专题培训。</w:t>
      </w:r>
    </w:p>
    <w:p w14:paraId="23F86493">
      <w:pPr>
        <w:pStyle w:val="56"/>
        <w:snapToGrid w:val="0"/>
        <w:spacing w:before="0" w:after="0" w:line="360" w:lineRule="auto"/>
        <w:ind w:firstLine="281" w:firstLineChars="100"/>
        <w:outlineLvl w:val="1"/>
        <w:rPr>
          <w:rFonts w:hint="eastAsia" w:ascii="宋体" w:hAnsi="宋体" w:cs="仿宋"/>
          <w:color w:val="000000" w:themeColor="text1"/>
          <w:sz w:val="28"/>
          <w:szCs w:val="28"/>
          <w14:textFill>
            <w14:solidFill>
              <w14:schemeClr w14:val="tx1"/>
            </w14:solidFill>
          </w14:textFill>
        </w:rPr>
      </w:pPr>
      <w:bookmarkStart w:id="193" w:name="_Toc18208"/>
      <w:bookmarkStart w:id="194" w:name="_Toc3277"/>
      <w:bookmarkStart w:id="195" w:name="_Toc31425"/>
      <w:bookmarkStart w:id="196" w:name="_Toc1119"/>
      <w:r>
        <w:rPr>
          <w:rFonts w:hint="eastAsia" w:ascii="宋体" w:hAnsi="宋体" w:cs="仿宋"/>
          <w:color w:val="000000" w:themeColor="text1"/>
          <w:sz w:val="28"/>
          <w:szCs w:val="28"/>
          <w:lang w:val="en-US" w:eastAsia="zh-CN"/>
          <w14:textFill>
            <w14:solidFill>
              <w14:schemeClr w14:val="tx1"/>
            </w14:solidFill>
          </w14:textFill>
        </w:rPr>
        <w:t>5</w:t>
      </w:r>
      <w:r>
        <w:rPr>
          <w:rFonts w:hint="eastAsia" w:ascii="宋体" w:hAnsi="宋体" w:cs="仿宋"/>
          <w:color w:val="000000" w:themeColor="text1"/>
          <w:sz w:val="28"/>
          <w:szCs w:val="28"/>
          <w14:textFill>
            <w14:solidFill>
              <w14:schemeClr w14:val="tx1"/>
            </w14:solidFill>
          </w14:textFill>
        </w:rPr>
        <w:t>.2环境风险防控与应急措施</w:t>
      </w:r>
      <w:bookmarkEnd w:id="193"/>
      <w:bookmarkEnd w:id="194"/>
      <w:bookmarkEnd w:id="195"/>
      <w:bookmarkEnd w:id="196"/>
    </w:p>
    <w:p w14:paraId="2E8EBA09">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w:t>
      </w:r>
      <w:r>
        <w:rPr>
          <w:rFonts w:hint="eastAsia" w:ascii="宋体" w:hAnsi="宋体" w:cs="仿宋"/>
          <w:color w:val="000000" w:themeColor="text1"/>
          <w:sz w:val="24"/>
          <w:szCs w:val="24"/>
          <w:lang w:eastAsia="zh-CN"/>
          <w14:textFill>
            <w14:solidFill>
              <w14:schemeClr w14:val="tx1"/>
            </w14:solidFill>
          </w14:textFill>
        </w:rPr>
        <w:t>废气排放</w:t>
      </w:r>
      <w:r>
        <w:rPr>
          <w:rFonts w:hint="eastAsia" w:ascii="宋体" w:hAnsi="宋体" w:cs="仿宋"/>
          <w:color w:val="000000" w:themeColor="text1"/>
          <w:sz w:val="24"/>
          <w:szCs w:val="24"/>
          <w14:textFill>
            <w14:solidFill>
              <w14:schemeClr w14:val="tx1"/>
            </w14:solidFill>
          </w14:textFill>
        </w:rPr>
        <w:t>设置</w:t>
      </w:r>
      <w:r>
        <w:rPr>
          <w:rFonts w:hint="eastAsia" w:ascii="宋体" w:hAnsi="宋体" w:eastAsia="宋体" w:cs="仿宋"/>
          <w:color w:val="000000" w:themeColor="text1"/>
          <w:sz w:val="24"/>
          <w:szCs w:val="24"/>
          <w:lang w:eastAsia="zh-CN"/>
          <w14:textFill>
            <w14:solidFill>
              <w14:schemeClr w14:val="tx1"/>
            </w14:solidFill>
          </w14:textFill>
        </w:rPr>
        <w:t>有</w:t>
      </w:r>
      <w:r>
        <w:rPr>
          <w:rFonts w:hint="eastAsia" w:ascii="宋体" w:hAnsi="宋体" w:cs="仿宋"/>
          <w:color w:val="000000" w:themeColor="text1"/>
          <w:sz w:val="24"/>
          <w:szCs w:val="24"/>
          <w:lang w:val="en-US" w:eastAsia="zh-CN"/>
          <w14:textFill>
            <w14:solidFill>
              <w14:schemeClr w14:val="tx1"/>
            </w14:solidFill>
          </w14:textFill>
        </w:rPr>
        <w:t>水膜除尘等除尘</w:t>
      </w:r>
      <w:r>
        <w:rPr>
          <w:rFonts w:hint="eastAsia" w:ascii="Segoe UI" w:hAnsi="Segoe UI" w:eastAsia="Segoe UI" w:cs="Segoe UI"/>
          <w:i w:val="0"/>
          <w:iCs w:val="0"/>
          <w:caps w:val="0"/>
          <w:color w:val="000000" w:themeColor="text1"/>
          <w:spacing w:val="0"/>
          <w:sz w:val="24"/>
          <w:szCs w:val="24"/>
          <w:shd w:val="clear" w:color="auto" w:fill="FFFFFF"/>
          <w:lang w:val="en-US" w:eastAsia="zh-CN"/>
          <w14:textFill>
            <w14:solidFill>
              <w14:schemeClr w14:val="tx1"/>
            </w14:solidFill>
          </w14:textFill>
        </w:rPr>
        <w:t>装置和排气筒</w:t>
      </w:r>
      <w:r>
        <w:rPr>
          <w:rFonts w:hint="eastAsia" w:ascii="宋体" w:hAnsi="宋体" w:eastAsia="宋体" w:cs="仿宋"/>
          <w:color w:val="000000" w:themeColor="text1"/>
          <w:sz w:val="24"/>
          <w:szCs w:val="24"/>
          <w:lang w:eastAsia="zh-CN"/>
          <w14:textFill>
            <w14:solidFill>
              <w14:schemeClr w14:val="tx1"/>
            </w14:solidFill>
          </w14:textFill>
        </w:rPr>
        <w:t>；</w:t>
      </w:r>
    </w:p>
    <w:p w14:paraId="26635E95">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（2）厂区设置备用电源，以保证正常生产和事故应急；</w:t>
      </w:r>
    </w:p>
    <w:p w14:paraId="3D76D7CC">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（3）安装消防管道设施，配备防</w:t>
      </w:r>
      <w:r>
        <w:rPr>
          <w:rFonts w:hint="eastAsia" w:ascii="宋体" w:hAnsi="宋体" w:cs="仿宋"/>
          <w:color w:val="000000" w:themeColor="text1"/>
          <w:sz w:val="24"/>
          <w:szCs w:val="24"/>
          <w:lang w:eastAsia="zh-CN"/>
          <w14:textFill>
            <w14:solidFill>
              <w14:schemeClr w14:val="tx1"/>
            </w14:solidFill>
          </w14:textFill>
        </w:rPr>
        <w:t>护器具</w:t>
      </w:r>
      <w:r>
        <w:rPr>
          <w:rFonts w:hint="eastAsia" w:ascii="宋体" w:hAnsi="宋体" w:cs="仿宋"/>
          <w:color w:val="000000" w:themeColor="text1"/>
          <w:sz w:val="24"/>
          <w:szCs w:val="24"/>
          <w14:textFill>
            <w14:solidFill>
              <w14:schemeClr w14:val="tx1"/>
            </w14:solidFill>
          </w14:textFill>
        </w:rPr>
        <w:t>等；</w:t>
      </w:r>
    </w:p>
    <w:p w14:paraId="337BF628">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w:t>
      </w:r>
      <w:r>
        <w:rPr>
          <w:rFonts w:hint="eastAsia" w:ascii="宋体" w:hAnsi="宋体" w:cs="仿宋"/>
          <w:color w:val="000000" w:themeColor="text1"/>
          <w:sz w:val="24"/>
          <w:szCs w:val="24"/>
          <w:lang w:val="en-US" w:eastAsia="zh-CN"/>
          <w14:textFill>
            <w14:solidFill>
              <w14:schemeClr w14:val="tx1"/>
            </w14:solidFill>
          </w14:textFill>
        </w:rPr>
        <w:t>4</w:t>
      </w:r>
      <w:r>
        <w:rPr>
          <w:rFonts w:hint="eastAsia" w:ascii="宋体" w:hAnsi="宋体" w:cs="仿宋"/>
          <w:color w:val="000000" w:themeColor="text1"/>
          <w:sz w:val="24"/>
          <w:szCs w:val="24"/>
          <w14:textFill>
            <w14:solidFill>
              <w14:schemeClr w14:val="tx1"/>
            </w14:solidFill>
          </w14:textFill>
        </w:rPr>
        <w:t>）厂区内建危废</w:t>
      </w:r>
      <w:r>
        <w:rPr>
          <w:rFonts w:hint="eastAsia" w:ascii="宋体" w:hAnsi="宋体" w:cs="仿宋"/>
          <w:color w:val="000000" w:themeColor="text1"/>
          <w:sz w:val="24"/>
          <w:szCs w:val="24"/>
          <w:lang w:eastAsia="zh-CN"/>
          <w14:textFill>
            <w14:solidFill>
              <w14:schemeClr w14:val="tx1"/>
            </w14:solidFill>
          </w14:textFill>
        </w:rPr>
        <w:t>暂存间</w:t>
      </w:r>
      <w:r>
        <w:rPr>
          <w:rFonts w:hint="eastAsia" w:ascii="宋体" w:hAnsi="宋体" w:cs="仿宋"/>
          <w:color w:val="000000" w:themeColor="text1"/>
          <w:sz w:val="24"/>
          <w:szCs w:val="24"/>
          <w14:textFill>
            <w14:solidFill>
              <w14:schemeClr w14:val="tx1"/>
            </w14:solidFill>
          </w14:textFill>
        </w:rPr>
        <w:t>，远离易燃、易爆物体储存和生产场所，并按相关要求采取防渗、防雨和防流失措施；</w:t>
      </w:r>
    </w:p>
    <w:p w14:paraId="4A11DFC9">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5）厂区的地面建筑、地上车间以及所配套的安全、消防设施的平面布局等严格按《建筑设计防火规范》设计。建设项目进行合理的功能分区，分区内部和相互之间保持一定的通道和安全间距。根据火灾危险性等级和防火、防爆要求，建筑物的防火等级均采用国家现行规范要求的耐火等级设计，满足建筑防火要求。凡禁火区均设置明显标志牌，储罐区等生产危险区均不允许非工作人员随便入内，安全出口及安全疏散距离应符合《建筑设计防火规范》的要求。在装置区设置应急救护器材，工作人员必须配备必要的个人防护用品。并定期对消防设施、应急器材完整性进行检测，记录。</w:t>
      </w:r>
    </w:p>
    <w:p w14:paraId="063EA941">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（6）生产防护措施：</w:t>
      </w:r>
    </w:p>
    <w:p w14:paraId="226164CD">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a.严格按照《危险化学品安全生产管理条例》等有关法律进行暂存、运输和处置。b.在危险区设置围堰、事故应急池，地面均进行防渗处理，将泄漏危化品及其废水全部引入应急池。</w:t>
      </w:r>
    </w:p>
    <w:p w14:paraId="42FED8F7">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c.在产品储存区安装清水喷洗龙头、洗眼器。</w:t>
      </w:r>
    </w:p>
    <w:p w14:paraId="23C25306">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d.在储存区适当存放消防沙，少量泄漏时吸收泄漏物质。</w:t>
      </w:r>
    </w:p>
    <w:p w14:paraId="2CA937BB">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e.经常检查安全消防设施的完好性，保证完好率达100%，处于即用状态。</w:t>
      </w:r>
    </w:p>
    <w:p w14:paraId="06F343E6">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f.从采购、安装、试车、检验等关键环节上加强对关键设备的管理，从根本上消除事件隐患，确保生产安全。严把工程建设关，各类泵、阀门、法兰等可能泄露爆破部位的质量关。</w:t>
      </w:r>
    </w:p>
    <w:p w14:paraId="3F8E3099">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cs="仿宋"/>
          <w:color w:val="000000" w:themeColor="text1"/>
          <w:sz w:val="24"/>
          <w:szCs w:val="24"/>
          <w:lang w:val="en-US" w:eastAsia="zh-CN"/>
          <w14:textFill>
            <w14:solidFill>
              <w14:schemeClr w14:val="tx1"/>
            </w14:solidFill>
          </w14:textFill>
        </w:rPr>
        <w:t>g.危险化学品废弃物严格按照《危险化学品安全生产管理条例》进行申报登记和管理。</w:t>
      </w:r>
    </w:p>
    <w:p w14:paraId="54019BDF">
      <w:pPr>
        <w:pStyle w:val="40"/>
        <w:snapToGrid w:val="0"/>
        <w:spacing w:line="360" w:lineRule="auto"/>
        <w:ind w:firstLine="560"/>
        <w:rPr>
          <w:rFonts w:hint="eastAsia" w:ascii="宋体" w:hAnsi="宋体" w:eastAsia="宋体" w:cs="仿宋"/>
          <w:color w:val="000000" w:themeColor="text1"/>
          <w:sz w:val="24"/>
          <w:szCs w:val="24"/>
          <w:lang w:val="en-US" w:eastAsia="zh-CN"/>
          <w14:textFill>
            <w14:solidFill>
              <w14:schemeClr w14:val="tx1"/>
            </w14:solidFill>
          </w14:textFill>
        </w:rPr>
      </w:pPr>
      <w:r>
        <w:rPr>
          <w:rFonts w:hint="eastAsia" w:ascii="宋体" w:hAnsi="宋体" w:eastAsia="宋体" w:cs="仿宋"/>
          <w:color w:val="000000" w:themeColor="text1"/>
          <w:sz w:val="24"/>
          <w:szCs w:val="24"/>
          <w:lang w:val="en-US" w:eastAsia="zh-CN"/>
          <w14:textFill>
            <w14:solidFill>
              <w14:schemeClr w14:val="tx1"/>
            </w14:solidFill>
          </w14:textFill>
        </w:rPr>
        <w:t>（7）发生火灾爆炸事故应急措施：</w:t>
      </w:r>
    </w:p>
    <w:p w14:paraId="0B5C4281">
      <w:pPr>
        <w:pStyle w:val="40"/>
        <w:snapToGrid w:val="0"/>
        <w:spacing w:line="360" w:lineRule="auto"/>
        <w:ind w:firstLine="560"/>
        <w:rPr>
          <w:rFonts w:hint="eastAsia" w:ascii="宋体" w:hAnsi="宋体" w:eastAsia="宋体" w:cs="仿宋"/>
          <w:color w:val="000000" w:themeColor="text1"/>
          <w:sz w:val="24"/>
          <w:szCs w:val="24"/>
          <w:lang w:val="en-US" w:eastAsia="zh-CN"/>
          <w14:textFill>
            <w14:solidFill>
              <w14:schemeClr w14:val="tx1"/>
            </w14:solidFill>
          </w14:textFill>
        </w:rPr>
      </w:pPr>
      <w:r>
        <w:rPr>
          <w:rFonts w:hint="eastAsia" w:ascii="宋体" w:hAnsi="宋体" w:eastAsia="宋体" w:cs="仿宋"/>
          <w:color w:val="000000" w:themeColor="text1"/>
          <w:sz w:val="24"/>
          <w:szCs w:val="24"/>
          <w:lang w:val="en-US" w:eastAsia="zh-CN"/>
          <w14:textFill>
            <w14:solidFill>
              <w14:schemeClr w14:val="tx1"/>
            </w14:solidFill>
          </w14:textFill>
        </w:rPr>
        <w:t>初期、小型火灾：迅速关闭火灾部位的上下游阀门，切断进入火灾事故地点的一切物料；在火灾尚未扩大到不可控制之前，应使用移动式灭火器或现场其它各种消防设备、器材扑灭初期火灾和控制火源。中后期、大型火灾：迅速撤离火灾现场撤离到安全地带，并佩戴好应急防护用品，通报周围工作人员，并报告应急小组，速疏散受火势威胁的物资；用沙袋或其他材料筑堤拦截飘散流淌的液体或挖沟导流将物料导向安全地点；用毛毡、海草帘堵住下水井、阴井口等处，防止火焰蔓延。用灭火器材灭火，并进行急救。</w:t>
      </w:r>
    </w:p>
    <w:p w14:paraId="55ABA481">
      <w:pPr>
        <w:pStyle w:val="40"/>
        <w:numPr>
          <w:ilvl w:val="0"/>
          <w:numId w:val="3"/>
        </w:numPr>
        <w:snapToGrid w:val="0"/>
        <w:spacing w:line="360" w:lineRule="auto"/>
        <w:ind w:firstLine="560"/>
        <w:rPr>
          <w:rFonts w:hint="eastAsia" w:ascii="宋体" w:hAnsi="宋体" w:eastAsia="宋体" w:cs="仿宋"/>
          <w:color w:val="000000" w:themeColor="text1"/>
          <w:sz w:val="24"/>
          <w:szCs w:val="24"/>
          <w:lang w:val="en-US" w:eastAsia="zh-CN"/>
          <w14:textFill>
            <w14:solidFill>
              <w14:schemeClr w14:val="tx1"/>
            </w14:solidFill>
          </w14:textFill>
        </w:rPr>
      </w:pPr>
      <w:r>
        <w:rPr>
          <w:rFonts w:hint="eastAsia" w:ascii="宋体" w:hAnsi="宋体" w:eastAsia="宋体" w:cs="仿宋"/>
          <w:color w:val="000000" w:themeColor="text1"/>
          <w:sz w:val="24"/>
          <w:szCs w:val="24"/>
          <w:lang w:val="en-US" w:eastAsia="zh-CN"/>
          <w14:textFill>
            <w14:solidFill>
              <w14:schemeClr w14:val="tx1"/>
            </w14:solidFill>
          </w14:textFill>
        </w:rPr>
        <w:t>消防及火灾报警系统：</w:t>
      </w:r>
    </w:p>
    <w:p w14:paraId="01185241">
      <w:pPr>
        <w:pStyle w:val="40"/>
        <w:numPr>
          <w:ilvl w:val="0"/>
          <w:numId w:val="0"/>
        </w:numPr>
        <w:snapToGrid w:val="0"/>
        <w:spacing w:line="360" w:lineRule="auto"/>
        <w:ind w:firstLine="480" w:firstLineChars="200"/>
        <w:rPr>
          <w:rFonts w:hint="eastAsia" w:ascii="宋体" w:hAnsi="宋体" w:cs="仿宋"/>
          <w:color w:val="000000" w:themeColor="text1"/>
          <w:sz w:val="24"/>
          <w:szCs w:val="24"/>
          <w:lang w:val="en-US" w:eastAsia="zh-CN"/>
          <w14:textFill>
            <w14:solidFill>
              <w14:schemeClr w14:val="tx1"/>
            </w14:solidFill>
          </w14:textFill>
        </w:rPr>
      </w:pPr>
      <w:r>
        <w:rPr>
          <w:rFonts w:hint="eastAsia" w:ascii="宋体" w:hAnsi="宋体" w:eastAsia="宋体" w:cs="仿宋"/>
          <w:color w:val="000000" w:themeColor="text1"/>
          <w:sz w:val="24"/>
          <w:szCs w:val="24"/>
          <w:lang w:val="en-US" w:eastAsia="zh-CN"/>
          <w14:textFill>
            <w14:solidFill>
              <w14:schemeClr w14:val="tx1"/>
            </w14:solidFill>
          </w14:textFill>
        </w:rPr>
        <w:t>公司</w:t>
      </w:r>
      <w:r>
        <w:rPr>
          <w:rFonts w:hint="eastAsia" w:ascii="宋体" w:hAnsi="宋体" w:cs="仿宋"/>
          <w:color w:val="000000" w:themeColor="text1"/>
          <w:sz w:val="24"/>
          <w:szCs w:val="24"/>
          <w:lang w:val="en-US" w:eastAsia="zh-CN"/>
          <w14:textFill>
            <w14:solidFill>
              <w14:schemeClr w14:val="tx1"/>
            </w14:solidFill>
          </w14:textFill>
        </w:rPr>
        <w:t>火灾报警和通讯联络设施需完好、畅通、有效。消防用水需满足扑救火灾配制最大用水量，保持消防水储罐内无杂物，补水时间不超过 96 小时要求。消防器材由专业人员管理，并定期组织检验、维修，确保消防设施和器材的完好、有效并能随时取用，防雨防晒；制订消防安全管理制度、消防安全操作规程；设置应急池，完善废水收集系统，保证各单元发生事故时，泄漏物料或消防、冲洗废水能迅速、安全地集中到应急池，进行必要的处理。</w:t>
      </w:r>
    </w:p>
    <w:p w14:paraId="6EAFB9E0">
      <w:pPr>
        <w:pStyle w:val="40"/>
        <w:snapToGrid w:val="0"/>
        <w:spacing w:line="360" w:lineRule="auto"/>
        <w:rPr>
          <w:rFonts w:hint="eastAsia" w:ascii="宋体" w:hAnsi="宋体" w:cs="仿宋"/>
          <w:color w:val="000000" w:themeColor="text1"/>
          <w:sz w:val="24"/>
          <w:szCs w:val="24"/>
          <w:lang w:val="en-US" w:eastAsia="zh-CN"/>
          <w14:textFill>
            <w14:solidFill>
              <w14:schemeClr w14:val="tx1"/>
            </w14:solidFill>
          </w14:textFill>
        </w:rPr>
      </w:pPr>
    </w:p>
    <w:p w14:paraId="32BFCEFB">
      <w:pPr>
        <w:pStyle w:val="56"/>
        <w:snapToGrid w:val="0"/>
        <w:spacing w:before="0" w:after="0" w:line="360" w:lineRule="auto"/>
        <w:outlineLvl w:val="1"/>
        <w:rPr>
          <w:rFonts w:hint="eastAsia" w:ascii="宋体" w:hAnsi="宋体" w:cs="仿宋"/>
          <w:color w:val="000000" w:themeColor="text1"/>
          <w:sz w:val="28"/>
          <w:szCs w:val="28"/>
          <w14:textFill>
            <w14:solidFill>
              <w14:schemeClr w14:val="tx1"/>
            </w14:solidFill>
          </w14:textFill>
        </w:rPr>
      </w:pPr>
      <w:bookmarkStart w:id="197" w:name="_Toc16780"/>
      <w:bookmarkStart w:id="198" w:name="_Toc9814"/>
      <w:bookmarkStart w:id="199" w:name="_Toc20595"/>
      <w:bookmarkStart w:id="200" w:name="_Toc31015"/>
      <w:r>
        <w:rPr>
          <w:rFonts w:hint="eastAsia" w:ascii="宋体" w:hAnsi="宋体" w:cs="仿宋"/>
          <w:color w:val="000000" w:themeColor="text1"/>
          <w:sz w:val="28"/>
          <w:szCs w:val="28"/>
          <w:lang w:val="en-US" w:eastAsia="zh-CN"/>
          <w14:textFill>
            <w14:solidFill>
              <w14:schemeClr w14:val="tx1"/>
            </w14:solidFill>
          </w14:textFill>
        </w:rPr>
        <w:t>5</w:t>
      </w:r>
      <w:r>
        <w:rPr>
          <w:rFonts w:hint="eastAsia" w:ascii="宋体" w:hAnsi="宋体" w:cs="仿宋"/>
          <w:color w:val="000000" w:themeColor="text1"/>
          <w:sz w:val="28"/>
          <w:szCs w:val="28"/>
          <w14:textFill>
            <w14:solidFill>
              <w14:schemeClr w14:val="tx1"/>
            </w14:solidFill>
          </w14:textFill>
        </w:rPr>
        <w:t>.3环境应急资源</w:t>
      </w:r>
      <w:bookmarkEnd w:id="197"/>
      <w:bookmarkEnd w:id="198"/>
      <w:bookmarkEnd w:id="199"/>
      <w:bookmarkEnd w:id="200"/>
    </w:p>
    <w:p w14:paraId="78462E32">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（1）已经配备</w:t>
      </w:r>
      <w:r>
        <w:rPr>
          <w:rFonts w:hint="eastAsia" w:ascii="宋体" w:hAnsi="宋体" w:cs="仿宋"/>
          <w:color w:val="000000" w:themeColor="text1"/>
          <w:sz w:val="24"/>
          <w:szCs w:val="24"/>
          <w:lang w:eastAsia="zh-CN"/>
          <w14:textFill>
            <w14:solidFill>
              <w14:schemeClr w14:val="tx1"/>
            </w14:solidFill>
          </w14:textFill>
        </w:rPr>
        <w:t>基本</w:t>
      </w:r>
      <w:r>
        <w:rPr>
          <w:rFonts w:hint="eastAsia" w:ascii="宋体" w:hAnsi="宋体" w:cs="仿宋"/>
          <w:color w:val="000000" w:themeColor="text1"/>
          <w:sz w:val="24"/>
          <w:szCs w:val="24"/>
          <w14:textFill>
            <w14:solidFill>
              <w14:schemeClr w14:val="tx1"/>
            </w14:solidFill>
          </w14:textFill>
        </w:rPr>
        <w:t>的应急物资和应急装备。</w:t>
      </w:r>
    </w:p>
    <w:p w14:paraId="18529A72">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2）厂内已建立突发性环境污染事故应急救援队伍。拥有一批常备不懈，熟悉环境应急知识，充分掌握各类突发性环境污染事故处置措施的预备应急力量；积极组织各类应急演练，经常与上级指挥部门专家组开展经验交流，建立健全预警机制和信息上报制度，保证在突发事故发生后，能迅速参与并完成抢救、排险、消毒等现场处置工作。</w:t>
      </w:r>
    </w:p>
    <w:p w14:paraId="1F298498">
      <w:pPr>
        <w:pStyle w:val="40"/>
        <w:snapToGrid w:val="0"/>
        <w:spacing w:line="360" w:lineRule="auto"/>
        <w:ind w:firstLine="560"/>
        <w:rPr>
          <w:rFonts w:hint="eastAsia" w:ascii="宋体" w:hAnsi="宋体" w:cs="仿宋"/>
          <w:color w:val="000000" w:themeColor="text1"/>
          <w:sz w:val="28"/>
          <w:szCs w:val="28"/>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（3）</w:t>
      </w:r>
      <w:r>
        <w:rPr>
          <w:rFonts w:hint="eastAsia" w:ascii="宋体" w:hAnsi="宋体" w:cs="仿宋"/>
          <w:color w:val="000000" w:themeColor="text1"/>
          <w:sz w:val="24"/>
          <w:szCs w:val="24"/>
          <w:lang w:eastAsia="zh-CN"/>
          <w14:textFill>
            <w14:solidFill>
              <w14:schemeClr w14:val="tx1"/>
            </w14:solidFill>
          </w14:textFill>
        </w:rPr>
        <w:t>公司</w:t>
      </w:r>
      <w:r>
        <w:rPr>
          <w:rFonts w:hint="eastAsia" w:ascii="宋体" w:hAnsi="宋体" w:cs="仿宋"/>
          <w:color w:val="000000" w:themeColor="text1"/>
          <w:sz w:val="24"/>
          <w:szCs w:val="24"/>
          <w14:textFill>
            <w14:solidFill>
              <w14:schemeClr w14:val="tx1"/>
            </w14:solidFill>
          </w14:textFill>
        </w:rPr>
        <w:t>的外部救援机构均为政府职能部门或服务性组织，</w:t>
      </w:r>
      <w:r>
        <w:rPr>
          <w:rFonts w:hint="eastAsia" w:ascii="宋体" w:hAnsi="宋体" w:cs="仿宋"/>
          <w:color w:val="000000" w:themeColor="text1"/>
          <w:sz w:val="24"/>
          <w:szCs w:val="24"/>
          <w:lang w:eastAsia="zh-CN"/>
          <w14:textFill>
            <w14:solidFill>
              <w14:schemeClr w14:val="tx1"/>
            </w14:solidFill>
          </w14:textFill>
        </w:rPr>
        <w:t>公司</w:t>
      </w:r>
      <w:r>
        <w:rPr>
          <w:rFonts w:hint="eastAsia" w:ascii="宋体" w:hAnsi="宋体" w:cs="仿宋"/>
          <w:color w:val="000000" w:themeColor="text1"/>
          <w:sz w:val="24"/>
          <w:szCs w:val="24"/>
          <w14:textFill>
            <w14:solidFill>
              <w14:schemeClr w14:val="tx1"/>
            </w14:solidFill>
          </w14:textFill>
        </w:rPr>
        <w:t>虽未与有关部门签订应急救援协议或互救协议，一旦发生突发环境事件，通过信息传递需要实施外部救援时，相关部门本着“以人为本，快速响应”的原则，能迅速对本公司进行应急救援。</w:t>
      </w:r>
    </w:p>
    <w:p w14:paraId="1BB4F9B2">
      <w:pPr>
        <w:pStyle w:val="56"/>
        <w:snapToGrid w:val="0"/>
        <w:spacing w:before="0" w:after="0" w:line="360" w:lineRule="auto"/>
        <w:outlineLvl w:val="1"/>
        <w:rPr>
          <w:rFonts w:hint="eastAsia" w:ascii="宋体" w:hAnsi="宋体" w:cs="仿宋"/>
          <w:color w:val="000000" w:themeColor="text1"/>
          <w:sz w:val="28"/>
          <w:szCs w:val="28"/>
          <w14:textFill>
            <w14:solidFill>
              <w14:schemeClr w14:val="tx1"/>
            </w14:solidFill>
          </w14:textFill>
        </w:rPr>
      </w:pPr>
      <w:bookmarkStart w:id="201" w:name="_Toc15824"/>
      <w:bookmarkStart w:id="202" w:name="_Toc16464"/>
      <w:bookmarkStart w:id="203" w:name="_Toc28365"/>
      <w:bookmarkStart w:id="204" w:name="_Toc15535"/>
      <w:r>
        <w:rPr>
          <w:rFonts w:hint="eastAsia" w:ascii="宋体" w:hAnsi="宋体" w:cs="仿宋"/>
          <w:color w:val="000000" w:themeColor="text1"/>
          <w:sz w:val="28"/>
          <w:szCs w:val="28"/>
          <w:lang w:val="en-US" w:eastAsia="zh-CN"/>
          <w14:textFill>
            <w14:solidFill>
              <w14:schemeClr w14:val="tx1"/>
            </w14:solidFill>
          </w14:textFill>
        </w:rPr>
        <w:t>5</w:t>
      </w:r>
      <w:r>
        <w:rPr>
          <w:rFonts w:hint="eastAsia" w:ascii="宋体" w:hAnsi="宋体" w:cs="仿宋"/>
          <w:color w:val="000000" w:themeColor="text1"/>
          <w:sz w:val="28"/>
          <w:szCs w:val="28"/>
          <w14:textFill>
            <w14:solidFill>
              <w14:schemeClr w14:val="tx1"/>
            </w14:solidFill>
          </w14:textFill>
        </w:rPr>
        <w:t>.</w:t>
      </w:r>
      <w:r>
        <w:rPr>
          <w:rFonts w:hint="eastAsia" w:ascii="宋体" w:hAnsi="宋体" w:cs="仿宋"/>
          <w:color w:val="000000" w:themeColor="text1"/>
          <w:sz w:val="28"/>
          <w:szCs w:val="28"/>
          <w:lang w:val="en-US" w:eastAsia="zh-CN"/>
          <w14:textFill>
            <w14:solidFill>
              <w14:schemeClr w14:val="tx1"/>
            </w14:solidFill>
          </w14:textFill>
        </w:rPr>
        <w:t>4</w:t>
      </w:r>
      <w:r>
        <w:rPr>
          <w:rFonts w:hint="eastAsia" w:ascii="宋体" w:hAnsi="宋体" w:cs="仿宋"/>
          <w:color w:val="000000" w:themeColor="text1"/>
          <w:sz w:val="28"/>
          <w:szCs w:val="28"/>
          <w14:textFill>
            <w14:solidFill>
              <w14:schemeClr w14:val="tx1"/>
            </w14:solidFill>
          </w14:textFill>
        </w:rPr>
        <w:t>需要整改的短期、中期和长期项目内容</w:t>
      </w:r>
      <w:bookmarkEnd w:id="201"/>
      <w:bookmarkEnd w:id="202"/>
      <w:bookmarkEnd w:id="203"/>
      <w:bookmarkEnd w:id="204"/>
    </w:p>
    <w:p w14:paraId="1B28D8E2">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根据对</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范围内的环境风险及其后果分析，结合公司现有环境风险防控与应急资源调查情况，本公司环境风险管理制度健全，制定了环境风险防控与应急措施、应急资源满足环境风险应对的需要。</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暂无需要长期、中期整改的项目。短期内若现场检查发现应急物资</w:t>
      </w:r>
      <w:r>
        <w:rPr>
          <w:rFonts w:hint="eastAsia" w:ascii="宋体" w:hAnsi="宋体" w:cs="仿宋"/>
          <w:color w:val="000000" w:themeColor="text1"/>
          <w:sz w:val="24"/>
          <w:szCs w:val="24"/>
          <w:lang w:eastAsia="zh-CN"/>
          <w14:textFill>
            <w14:solidFill>
              <w14:schemeClr w14:val="tx1"/>
            </w14:solidFill>
          </w14:textFill>
        </w:rPr>
        <w:t>短缺或使用</w:t>
      </w:r>
      <w:r>
        <w:rPr>
          <w:rFonts w:hint="eastAsia" w:ascii="宋体" w:hAnsi="宋体" w:cs="仿宋"/>
          <w:color w:val="000000" w:themeColor="text1"/>
          <w:sz w:val="24"/>
          <w:szCs w:val="24"/>
          <w14:textFill>
            <w14:solidFill>
              <w14:schemeClr w14:val="tx1"/>
            </w14:solidFill>
          </w14:textFill>
        </w:rPr>
        <w:t>后，</w:t>
      </w:r>
      <w:r>
        <w:rPr>
          <w:rFonts w:hint="eastAsia" w:ascii="宋体" w:hAnsi="宋体" w:cs="仿宋"/>
          <w:color w:val="000000" w:themeColor="text1"/>
          <w:sz w:val="24"/>
          <w:szCs w:val="24"/>
          <w:lang w:eastAsia="zh-CN"/>
          <w14:textFill>
            <w14:solidFill>
              <w14:schemeClr w14:val="tx1"/>
            </w14:solidFill>
          </w14:textFill>
        </w:rPr>
        <w:t>应及时补充短缺或失效的物资</w:t>
      </w:r>
      <w:r>
        <w:rPr>
          <w:rFonts w:hint="eastAsia" w:ascii="宋体" w:hAnsi="宋体" w:cs="仿宋"/>
          <w:color w:val="000000" w:themeColor="text1"/>
          <w:sz w:val="24"/>
          <w:szCs w:val="24"/>
          <w14:textFill>
            <w14:solidFill>
              <w14:schemeClr w14:val="tx1"/>
            </w14:solidFill>
          </w14:textFill>
        </w:rPr>
        <w:t>。</w:t>
      </w:r>
    </w:p>
    <w:p w14:paraId="55E85387">
      <w:pPr>
        <w:pStyle w:val="40"/>
        <w:snapToGrid w:val="0"/>
        <w:spacing w:line="360" w:lineRule="auto"/>
        <w:ind w:firstLine="560"/>
        <w:rPr>
          <w:rFonts w:hint="eastAsia" w:ascii="宋体" w:hAnsi="宋体" w:cs="仿宋"/>
          <w:color w:val="000000" w:themeColor="text1"/>
          <w:sz w:val="24"/>
          <w:szCs w:val="24"/>
          <w:lang w:val="en-US" w:eastAsia="zh-CN"/>
          <w14:textFill>
            <w14:solidFill>
              <w14:schemeClr w14:val="tx1"/>
            </w14:solidFill>
          </w14:textFill>
        </w:rPr>
      </w:pPr>
    </w:p>
    <w:p w14:paraId="239CEFE0">
      <w:pPr>
        <w:pStyle w:val="58"/>
        <w:snapToGrid w:val="0"/>
        <w:spacing w:before="156" w:beforeLines="50" w:after="156" w:afterLines="50" w:line="240" w:lineRule="auto"/>
        <w:rPr>
          <w:rFonts w:hint="eastAsia" w:ascii="宋体" w:hAnsi="宋体" w:cs="仿宋"/>
          <w:color w:val="000000" w:themeColor="text1"/>
          <w:sz w:val="32"/>
          <w:szCs w:val="32"/>
          <w:lang w:eastAsia="zh-CN"/>
          <w14:textFill>
            <w14:solidFill>
              <w14:schemeClr w14:val="tx1"/>
            </w14:solidFill>
          </w14:textFill>
        </w:rPr>
      </w:pPr>
      <w:bookmarkStart w:id="205" w:name="_Toc12785"/>
      <w:bookmarkStart w:id="206" w:name="_Toc21173"/>
      <w:bookmarkStart w:id="207" w:name="_Toc9277"/>
      <w:bookmarkStart w:id="208" w:name="_Toc7180"/>
      <w:r>
        <w:rPr>
          <w:rFonts w:hint="eastAsia" w:ascii="宋体" w:hAnsi="宋体" w:cs="仿宋"/>
          <w:color w:val="000000" w:themeColor="text1"/>
          <w:sz w:val="32"/>
          <w:szCs w:val="32"/>
          <w:lang w:val="en-US" w:eastAsia="zh-CN"/>
          <w14:textFill>
            <w14:solidFill>
              <w14:schemeClr w14:val="tx1"/>
            </w14:solidFill>
          </w14:textFill>
        </w:rPr>
        <w:t>6</w:t>
      </w:r>
      <w:r>
        <w:rPr>
          <w:rFonts w:hint="eastAsia" w:ascii="宋体" w:hAnsi="宋体" w:cs="仿宋"/>
          <w:color w:val="000000" w:themeColor="text1"/>
          <w:sz w:val="32"/>
          <w:szCs w:val="32"/>
          <w:lang w:eastAsia="zh-CN"/>
          <w14:textFill>
            <w14:solidFill>
              <w14:schemeClr w14:val="tx1"/>
            </w14:solidFill>
          </w14:textFill>
        </w:rPr>
        <w:t xml:space="preserve"> 完善环境风险防控与应急措施的实施计划</w:t>
      </w:r>
      <w:bookmarkEnd w:id="205"/>
      <w:bookmarkEnd w:id="206"/>
      <w:bookmarkEnd w:id="207"/>
      <w:bookmarkEnd w:id="208"/>
    </w:p>
    <w:p w14:paraId="0007A66E">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根据</w:t>
      </w:r>
      <w:r>
        <w:rPr>
          <w:rFonts w:hint="eastAsia" w:ascii="宋体" w:hAnsi="宋体" w:cs="仿宋"/>
          <w:color w:val="000000" w:themeColor="text1"/>
          <w:sz w:val="24"/>
          <w:szCs w:val="24"/>
          <w:lang w:eastAsia="zh-CN"/>
          <w14:textFill>
            <w14:solidFill>
              <w14:schemeClr w14:val="tx1"/>
            </w14:solidFill>
          </w14:textFill>
        </w:rPr>
        <w:t>安宁泰丰林化工有限公司</w:t>
      </w:r>
      <w:r>
        <w:rPr>
          <w:rFonts w:hint="eastAsia" w:ascii="宋体" w:hAnsi="宋体" w:cs="仿宋"/>
          <w:color w:val="000000" w:themeColor="text1"/>
          <w:sz w:val="24"/>
          <w:szCs w:val="24"/>
          <w14:textFill>
            <w14:solidFill>
              <w14:schemeClr w14:val="tx1"/>
            </w14:solidFill>
          </w14:textFill>
        </w:rPr>
        <w:t>的实际情况，分别制定完善环境风险防控和应急措施的长期、中期短期实施计划，计划如下：</w:t>
      </w:r>
    </w:p>
    <w:p w14:paraId="65C06166">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长期：加强员工的环境保护相关法律法规教育培训，增强员工环境保护和风险防范的意识；</w:t>
      </w:r>
    </w:p>
    <w:p w14:paraId="74E6B1BE">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中期：定期识别、评价厂区内环境因素，形成《环境因素登记与评价表》，对识别出的重要环境因素制定控制策划，实施策划消除环境危害隐患；定期对厂区内环境风险防控重点岗位责任和人员的落实情况、风险防控措施等进行检查；定期对突发环境事件应急预案进行演练，根据实际情况修订、完善预案。</w:t>
      </w:r>
    </w:p>
    <w:p w14:paraId="7B512ACD">
      <w:pPr>
        <w:pStyle w:val="40"/>
        <w:snapToGrid w:val="0"/>
        <w:spacing w:line="360" w:lineRule="auto"/>
        <w:ind w:firstLine="560"/>
        <w:rPr>
          <w:rFonts w:hint="eastAsia" w:ascii="宋体" w:hAnsi="宋体" w:cs="仿宋"/>
          <w:color w:val="000000" w:themeColor="text1"/>
          <w:sz w:val="24"/>
          <w:szCs w:val="24"/>
          <w14:textFill>
            <w14:solidFill>
              <w14:schemeClr w14:val="tx1"/>
            </w14:solidFill>
          </w14:textFill>
        </w:rPr>
      </w:pPr>
      <w:r>
        <w:rPr>
          <w:rFonts w:hint="eastAsia" w:ascii="宋体" w:hAnsi="宋体" w:cs="仿宋"/>
          <w:color w:val="000000" w:themeColor="text1"/>
          <w:sz w:val="24"/>
          <w:szCs w:val="24"/>
          <w14:textFill>
            <w14:solidFill>
              <w14:schemeClr w14:val="tx1"/>
            </w14:solidFill>
          </w14:textFill>
        </w:rPr>
        <w:t>短期：检查应急物资的配备情况，对配备不足的进行补齐。</w:t>
      </w:r>
    </w:p>
    <w:p w14:paraId="23F0E432">
      <w:pPr>
        <w:pStyle w:val="58"/>
        <w:snapToGrid w:val="0"/>
        <w:spacing w:before="156" w:beforeLines="50" w:after="156" w:afterLines="50" w:line="240" w:lineRule="auto"/>
        <w:outlineLvl w:val="9"/>
        <w:rPr>
          <w:rFonts w:hint="eastAsia" w:ascii="宋体" w:hAnsi="宋体" w:cs="仿宋"/>
          <w:color w:val="000000" w:themeColor="text1"/>
          <w:sz w:val="28"/>
          <w:szCs w:val="28"/>
          <w:lang w:val="en-US" w:eastAsia="zh-CN"/>
          <w14:textFill>
            <w14:solidFill>
              <w14:schemeClr w14:val="tx1"/>
            </w14:solidFill>
          </w14:textFill>
        </w:rPr>
      </w:pPr>
    </w:p>
    <w:p w14:paraId="018331EC">
      <w:pPr>
        <w:snapToGrid w:val="0"/>
        <w:spacing w:line="360" w:lineRule="auto"/>
        <w:rPr>
          <w:rFonts w:hint="eastAsia" w:ascii="宋体" w:hAnsi="宋体" w:eastAsia="宋体" w:cs="宋体"/>
          <w:color w:val="000000" w:themeColor="text1"/>
          <w:sz w:val="24"/>
          <w:szCs w:val="24"/>
          <w14:textFill>
            <w14:solidFill>
              <w14:schemeClr w14:val="tx1"/>
            </w14:solidFill>
          </w14:textFill>
        </w:rPr>
      </w:pPr>
    </w:p>
    <w:p w14:paraId="2493F4F8">
      <w:pPr>
        <w:pStyle w:val="58"/>
        <w:snapToGrid w:val="0"/>
        <w:spacing w:before="156" w:beforeLines="50" w:after="156" w:afterLines="50" w:line="240" w:lineRule="auto"/>
        <w:rPr>
          <w:rFonts w:hint="eastAsia" w:ascii="宋体" w:hAnsi="宋体" w:eastAsia="宋体" w:cs="宋体"/>
          <w:color w:val="000000" w:themeColor="text1"/>
          <w:sz w:val="30"/>
          <w:szCs w:val="30"/>
          <w14:textFill>
            <w14:solidFill>
              <w14:schemeClr w14:val="tx1"/>
            </w14:solidFill>
          </w14:textFill>
        </w:rPr>
      </w:pPr>
      <w:bookmarkStart w:id="209" w:name="_Toc23136"/>
      <w:bookmarkStart w:id="210" w:name="_Toc7966"/>
      <w:r>
        <w:rPr>
          <w:rFonts w:hint="eastAsia" w:ascii="宋体" w:hAnsi="宋体" w:cs="仿宋"/>
          <w:color w:val="000000" w:themeColor="text1"/>
          <w:sz w:val="30"/>
          <w:szCs w:val="30"/>
          <w:lang w:val="en-US" w:eastAsia="zh-CN"/>
          <w14:textFill>
            <w14:solidFill>
              <w14:schemeClr w14:val="tx1"/>
            </w14:solidFill>
          </w14:textFill>
        </w:rPr>
        <w:t>7</w:t>
      </w:r>
      <w:r>
        <w:rPr>
          <w:rFonts w:hint="eastAsia" w:ascii="宋体" w:hAnsi="宋体" w:cs="仿宋"/>
          <w:color w:val="000000" w:themeColor="text1"/>
          <w:sz w:val="30"/>
          <w:szCs w:val="30"/>
          <w:lang w:eastAsia="zh-CN"/>
          <w14:textFill>
            <w14:solidFill>
              <w14:schemeClr w14:val="tx1"/>
            </w14:solidFill>
          </w14:textFill>
        </w:rPr>
        <w:t>企业突发环境事件风险等级</w:t>
      </w:r>
      <w:bookmarkEnd w:id="209"/>
      <w:bookmarkEnd w:id="210"/>
    </w:p>
    <w:p w14:paraId="6B59F3F7">
      <w:pPr>
        <w:snapToGrid w:val="0"/>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依据《企业突发环境事件风险等级分级方法》（HJ941-2018）。根据企业生产、使用、</w:t>
      </w:r>
      <w:r>
        <w:rPr>
          <w:rFonts w:hint="eastAsia" w:ascii="宋体" w:hAnsi="宋体" w:eastAsia="宋体" w:cs="宋体"/>
          <w:color w:val="000000" w:themeColor="text1"/>
          <w:sz w:val="24"/>
          <w:szCs w:val="24"/>
          <w:lang w:eastAsia="zh-CN"/>
          <w14:textFill>
            <w14:solidFill>
              <w14:schemeClr w14:val="tx1"/>
            </w14:solidFill>
          </w14:textFill>
        </w:rPr>
        <w:t>处置</w:t>
      </w:r>
      <w:r>
        <w:rPr>
          <w:rFonts w:hint="eastAsia" w:ascii="宋体" w:hAnsi="宋体" w:eastAsia="宋体" w:cs="宋体"/>
          <w:color w:val="000000" w:themeColor="text1"/>
          <w:sz w:val="24"/>
          <w:szCs w:val="24"/>
          <w14:textFill>
            <w14:solidFill>
              <w14:schemeClr w14:val="tx1"/>
            </w14:solidFill>
          </w14:textFill>
        </w:rPr>
        <w:t>和释放的突发环境事件风险物质数量与其临界量的比值（Q），评估生产工艺过程与环境风险控制水平（M）以及环境风险受体敏感程度（E）的评估分析结果，分别评估企业突发大气环境事件风险和突发水环境事件风险，将企业突发大气或水环境事件风险等级划分为一般环境风险、较大环境风险和重大环境风险三级，分别用蓝色、黄色和红色标识。同时设计突发大气和水环境事件风险的企业，以等级高者确定企业突发环境事件风险等级。</w:t>
      </w:r>
    </w:p>
    <w:p w14:paraId="2ED38496">
      <w:pPr>
        <w:spacing w:line="360" w:lineRule="auto"/>
        <w:ind w:firstLine="480" w:firstLineChars="200"/>
        <w:rPr>
          <w:rFonts w:hint="eastAsia"/>
          <w:color w:val="000000" w:themeColor="text1"/>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企业突发环境事件风险分级程序见图</w:t>
      </w:r>
      <w:r>
        <w:rPr>
          <w:rFonts w:hint="eastAsia" w:ascii="宋体" w:hAnsi="宋体" w:cs="宋体"/>
          <w:color w:val="000000" w:themeColor="text1"/>
          <w:sz w:val="24"/>
          <w:szCs w:val="24"/>
          <w:lang w:val="en-US" w:eastAsia="zh-CN"/>
          <w14:textFill>
            <w14:solidFill>
              <w14:schemeClr w14:val="tx1"/>
            </w14:solidFill>
          </w14:textFill>
        </w:rPr>
        <w:t>7</w:t>
      </w:r>
      <w:r>
        <w:rPr>
          <w:rFonts w:hint="eastAsia" w:ascii="宋体" w:hAnsi="宋体" w:eastAsia="宋体" w:cs="宋体"/>
          <w:color w:val="000000" w:themeColor="text1"/>
          <w:sz w:val="24"/>
          <w:szCs w:val="24"/>
          <w14:textFill>
            <w14:solidFill>
              <w14:schemeClr w14:val="tx1"/>
            </w14:solidFill>
          </w14:textFill>
        </w:rPr>
        <w:t>-1。</w:t>
      </w:r>
    </w:p>
    <w:p w14:paraId="36D985E7">
      <w:pPr>
        <w:spacing w:line="360" w:lineRule="auto"/>
        <w:ind w:firstLine="480" w:firstLineChars="200"/>
        <w:jc w:val="center"/>
        <w:rPr>
          <w:rFonts w:hint="eastAsia" w:ascii="宋体" w:hAnsi="宋体" w:eastAsia="宋体" w:cs="宋体"/>
          <w:color w:val="000000" w:themeColor="text1"/>
          <w:sz w:val="24"/>
          <w:szCs w:val="24"/>
          <w14:textFill>
            <w14:solidFill>
              <w14:schemeClr w14:val="tx1"/>
            </w14:solidFill>
          </w14:textFill>
        </w:rPr>
      </w:pPr>
      <w:r>
        <w:rPr>
          <w:rFonts w:ascii="宋体" w:hAnsi="宋体" w:eastAsia="宋体" w:cs="宋体"/>
          <w:color w:val="000000" w:themeColor="text1"/>
          <w:sz w:val="24"/>
          <w:szCs w:val="24"/>
          <w14:textFill>
            <w14:solidFill>
              <w14:schemeClr w14:val="tx1"/>
            </w14:solidFill>
          </w14:textFill>
        </w:rPr>
        <w:fldChar w:fldCharType="begin"/>
      </w:r>
      <w:r>
        <w:rPr>
          <w:rFonts w:ascii="宋体" w:hAnsi="宋体" w:eastAsia="宋体" w:cs="宋体"/>
          <w:color w:val="000000" w:themeColor="text1"/>
          <w:sz w:val="24"/>
          <w:szCs w:val="24"/>
          <w14:textFill>
            <w14:solidFill>
              <w14:schemeClr w14:val="tx1"/>
            </w14:solidFill>
          </w14:textFill>
        </w:rPr>
        <w:instrText xml:space="preserve">INCLUDEPICTURE \d "C:\\Users\\Administrator\\Documents\\Tencent Files\\1845224167\\Image\\C2C\\5((VN22SVWOY0WO~K8K]}%6.png" \* MERGEFORMATINET </w:instrText>
      </w:r>
      <w:r>
        <w:rPr>
          <w:rFonts w:ascii="宋体" w:hAnsi="宋体" w:eastAsia="宋体" w:cs="宋体"/>
          <w:color w:val="000000" w:themeColor="text1"/>
          <w:sz w:val="24"/>
          <w:szCs w:val="24"/>
          <w14:textFill>
            <w14:solidFill>
              <w14:schemeClr w14:val="tx1"/>
            </w14:solidFill>
          </w14:textFill>
        </w:rPr>
        <w:fldChar w:fldCharType="separate"/>
      </w:r>
      <w:r>
        <w:rPr>
          <w:rFonts w:ascii="宋体" w:hAnsi="宋体" w:eastAsia="宋体" w:cs="宋体"/>
          <w:color w:val="000000" w:themeColor="text1"/>
          <w:sz w:val="24"/>
          <w:szCs w:val="24"/>
          <w14:textFill>
            <w14:solidFill>
              <w14:schemeClr w14:val="tx1"/>
            </w14:solidFill>
          </w14:textFill>
        </w:rPr>
        <w:drawing>
          <wp:inline distT="0" distB="0" distL="114300" distR="114300">
            <wp:extent cx="5193030" cy="5001895"/>
            <wp:effectExtent l="0" t="0" r="7620" b="8255"/>
            <wp:docPr id="1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descr="IMG_256"/>
                    <pic:cNvPicPr>
                      <a:picLocks noChangeAspect="1"/>
                    </pic:cNvPicPr>
                  </pic:nvPicPr>
                  <pic:blipFill>
                    <a:blip r:embed="rId14"/>
                    <a:stretch>
                      <a:fillRect/>
                    </a:stretch>
                  </pic:blipFill>
                  <pic:spPr>
                    <a:xfrm>
                      <a:off x="0" y="0"/>
                      <a:ext cx="5193030" cy="5001895"/>
                    </a:xfrm>
                    <a:prstGeom prst="rect">
                      <a:avLst/>
                    </a:prstGeom>
                    <a:noFill/>
                    <a:ln>
                      <a:noFill/>
                    </a:ln>
                  </pic:spPr>
                </pic:pic>
              </a:graphicData>
            </a:graphic>
          </wp:inline>
        </w:drawing>
      </w:r>
      <w:r>
        <w:rPr>
          <w:rFonts w:ascii="宋体" w:hAnsi="宋体" w:eastAsia="宋体" w:cs="宋体"/>
          <w:color w:val="000000" w:themeColor="text1"/>
          <w:sz w:val="24"/>
          <w:szCs w:val="24"/>
          <w14:textFill>
            <w14:solidFill>
              <w14:schemeClr w14:val="tx1"/>
            </w14:solidFill>
          </w14:textFill>
        </w:rPr>
        <w:fldChar w:fldCharType="end"/>
      </w:r>
    </w:p>
    <w:p w14:paraId="66F01FB0">
      <w:pPr>
        <w:autoSpaceDE w:val="0"/>
        <w:autoSpaceDN w:val="0"/>
        <w:adjustRightInd w:val="0"/>
        <w:spacing w:before="166" w:beforeLines="50" w:line="240" w:lineRule="auto"/>
        <w:jc w:val="center"/>
        <w:rPr>
          <w:rFonts w:hint="eastAsia" w:ascii="宋体" w:hAnsi="宋体" w:eastAsia="宋体" w:cs="宋体"/>
          <w:b w:val="0"/>
          <w:bCs w:val="0"/>
          <w:color w:val="000000" w:themeColor="text1"/>
          <w:sz w:val="21"/>
          <w:szCs w:val="21"/>
          <w14:textFill>
            <w14:solidFill>
              <w14:schemeClr w14:val="tx1"/>
            </w14:solidFill>
          </w14:textFill>
        </w:rPr>
      </w:pPr>
      <w:r>
        <w:rPr>
          <w:rFonts w:hint="eastAsia" w:ascii="宋体" w:hAnsi="宋体" w:eastAsia="宋体" w:cs="宋体"/>
          <w:b w:val="0"/>
          <w:bCs w:val="0"/>
          <w:color w:val="000000" w:themeColor="text1"/>
          <w:sz w:val="21"/>
          <w:szCs w:val="21"/>
          <w14:textFill>
            <w14:solidFill>
              <w14:schemeClr w14:val="tx1"/>
            </w14:solidFill>
          </w14:textFill>
        </w:rPr>
        <w:t>图</w:t>
      </w:r>
      <w:r>
        <w:rPr>
          <w:rFonts w:hint="eastAsia" w:ascii="宋体" w:hAnsi="宋体" w:cs="宋体"/>
          <w:b w:val="0"/>
          <w:bCs w:val="0"/>
          <w:color w:val="000000" w:themeColor="text1"/>
          <w:sz w:val="21"/>
          <w:szCs w:val="21"/>
          <w:lang w:val="en-US" w:eastAsia="zh-CN"/>
          <w14:textFill>
            <w14:solidFill>
              <w14:schemeClr w14:val="tx1"/>
            </w14:solidFill>
          </w14:textFill>
        </w:rPr>
        <w:t>7</w:t>
      </w:r>
      <w:r>
        <w:rPr>
          <w:rFonts w:hint="eastAsia" w:ascii="宋体" w:hAnsi="宋体" w:eastAsia="宋体" w:cs="宋体"/>
          <w:b w:val="0"/>
          <w:bCs w:val="0"/>
          <w:color w:val="000000" w:themeColor="text1"/>
          <w:sz w:val="21"/>
          <w:szCs w:val="21"/>
          <w14:textFill>
            <w14:solidFill>
              <w14:schemeClr w14:val="tx1"/>
            </w14:solidFill>
          </w14:textFill>
        </w:rPr>
        <w:t>-1 企业突发环境事件风险分级程序流程示意图</w:t>
      </w:r>
    </w:p>
    <w:p w14:paraId="0BFC5174">
      <w:pPr>
        <w:spacing w:line="360" w:lineRule="auto"/>
        <w:rPr>
          <w:rFonts w:hint="eastAsia" w:ascii="宋体" w:hAnsi="宋体" w:eastAsia="宋体" w:cs="宋体"/>
          <w:color w:val="000000" w:themeColor="text1"/>
          <w:sz w:val="24"/>
          <w:szCs w:val="24"/>
          <w14:textFill>
            <w14:solidFill>
              <w14:schemeClr w14:val="tx1"/>
            </w14:solidFill>
          </w14:textFill>
        </w:rPr>
      </w:pPr>
    </w:p>
    <w:p w14:paraId="3E11DD0A">
      <w:pPr>
        <w:pStyle w:val="56"/>
        <w:snapToGrid w:val="0"/>
        <w:spacing w:before="0" w:after="0" w:line="360" w:lineRule="auto"/>
        <w:outlineLvl w:val="1"/>
        <w:rPr>
          <w:rFonts w:hint="eastAsia" w:ascii="宋体" w:hAnsi="宋体" w:eastAsia="宋体" w:cs="宋体"/>
          <w:color w:val="000000" w:themeColor="text1"/>
          <w:sz w:val="28"/>
          <w:szCs w:val="28"/>
          <w14:textFill>
            <w14:solidFill>
              <w14:schemeClr w14:val="tx1"/>
            </w14:solidFill>
          </w14:textFill>
        </w:rPr>
      </w:pPr>
      <w:bookmarkStart w:id="211" w:name="_Toc14067"/>
      <w:bookmarkStart w:id="212" w:name="_Toc15162"/>
      <w:r>
        <w:rPr>
          <w:rFonts w:hint="eastAsia" w:ascii="宋体" w:hAnsi="宋体" w:cs="仿宋"/>
          <w:color w:val="000000" w:themeColor="text1"/>
          <w:sz w:val="28"/>
          <w:szCs w:val="28"/>
          <w:lang w:val="en-US" w:eastAsia="zh-CN"/>
          <w14:textFill>
            <w14:solidFill>
              <w14:schemeClr w14:val="tx1"/>
            </w14:solidFill>
          </w14:textFill>
        </w:rPr>
        <w:t>7.1</w:t>
      </w:r>
      <w:r>
        <w:rPr>
          <w:rFonts w:hint="eastAsia"/>
          <w:color w:val="000000" w:themeColor="text1"/>
          <w:sz w:val="28"/>
          <w:szCs w:val="28"/>
          <w:lang w:val="en-US" w:eastAsia="zh-CN"/>
          <w14:textFill>
            <w14:solidFill>
              <w14:schemeClr w14:val="tx1"/>
            </w14:solidFill>
          </w14:textFill>
        </w:rPr>
        <w:t>突发大气环境事件风险分级</w:t>
      </w:r>
      <w:bookmarkEnd w:id="211"/>
      <w:bookmarkEnd w:id="212"/>
    </w:p>
    <w:p w14:paraId="051310E1">
      <w:pPr>
        <w:spacing w:line="360" w:lineRule="auto"/>
        <w:outlineLvl w:val="2"/>
        <w:rPr>
          <w:rFonts w:hint="default" w:ascii="Cambria" w:hAnsi="Cambria" w:eastAsia="宋体" w:cs="Times New Roman"/>
          <w:b/>
          <w:bCs/>
          <w:color w:val="000000" w:themeColor="text1"/>
          <w:kern w:val="32"/>
          <w:sz w:val="28"/>
          <w:szCs w:val="28"/>
          <w:lang w:val="en-US" w:eastAsia="zh-CN" w:bidi="en-US"/>
          <w14:textFill>
            <w14:solidFill>
              <w14:schemeClr w14:val="tx1"/>
            </w14:solidFill>
          </w14:textFill>
        </w:rPr>
      </w:pPr>
      <w:bookmarkStart w:id="213" w:name="_Toc21471"/>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7.1.1</w:t>
      </w:r>
      <w:r>
        <w:rPr>
          <w:rFonts w:hint="eastAsia" w:ascii="Cambria" w:hAnsi="Cambria" w:eastAsia="宋体" w:cs="Times New Roman"/>
          <w:b/>
          <w:bCs/>
          <w:color w:val="000000" w:themeColor="text1"/>
          <w:kern w:val="32"/>
          <w:sz w:val="28"/>
          <w:szCs w:val="28"/>
          <w:lang w:val="en-US" w:eastAsia="zh-CN" w:bidi="en-US"/>
          <w14:textFill>
            <w14:solidFill>
              <w14:schemeClr w14:val="tx1"/>
            </w14:solidFill>
          </w14:textFill>
        </w:rPr>
        <w:t>涉气风险物质数量与临界量比值（Q）</w:t>
      </w:r>
      <w:bookmarkEnd w:id="213"/>
    </w:p>
    <w:p w14:paraId="3006C853">
      <w:pPr>
        <w:spacing w:line="360" w:lineRule="auto"/>
        <w:ind w:firstLine="480" w:firstLineChars="200"/>
        <w:rPr>
          <w:rFonts w:hint="eastAsia" w:ascii="宋体" w:hAnsi="宋体" w:eastAsia="宋体" w:cs="宋体"/>
          <w:color w:val="000000" w:themeColor="text1"/>
          <w:sz w:val="24"/>
          <w:szCs w:val="24"/>
          <w:lang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依据企业涉及的各类化学物质种类和数量进行风险物质识别，突发环境事件风险物质及临界量详见《企业突发环境事件风险等级分级方法》（HJ941-2018）附录A（以下简称“附录A”）</w:t>
      </w:r>
      <w:r>
        <w:rPr>
          <w:rFonts w:hint="eastAsia" w:ascii="宋体" w:hAnsi="宋体" w:cs="宋体"/>
          <w:color w:val="000000" w:themeColor="text1"/>
          <w:sz w:val="24"/>
          <w:szCs w:val="24"/>
          <w:lang w:val="en-US"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危险化学品重大危险源辨识</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（GB 18218-2018）</w:t>
      </w:r>
      <w:r>
        <w:rPr>
          <w:rFonts w:hint="eastAsia" w:ascii="宋体" w:hAnsi="宋体" w:eastAsia="宋体" w:cs="宋体"/>
          <w:color w:val="000000" w:themeColor="text1"/>
          <w:sz w:val="24"/>
          <w:szCs w:val="24"/>
          <w:lang w:eastAsia="zh-CN"/>
          <w14:textFill>
            <w14:solidFill>
              <w14:schemeClr w14:val="tx1"/>
            </w14:solidFill>
          </w14:textFill>
        </w:rPr>
        <w:t>。</w:t>
      </w:r>
    </w:p>
    <w:p w14:paraId="38F61218">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涉气风险物质包括附录A中的第一、第二、第三、第四、第六部分全部风险物质以及第八部分中除NH</w:t>
      </w:r>
      <w:r>
        <w:rPr>
          <w:rFonts w:hint="eastAsia" w:ascii="宋体" w:hAnsi="宋体" w:eastAsia="宋体" w:cs="宋体"/>
          <w:color w:val="000000" w:themeColor="text1"/>
          <w:sz w:val="24"/>
          <w:szCs w:val="24"/>
          <w:vertAlign w:val="subscript"/>
          <w14:textFill>
            <w14:solidFill>
              <w14:schemeClr w14:val="tx1"/>
            </w14:solidFill>
          </w14:textFill>
        </w:rPr>
        <w:t>3</w:t>
      </w:r>
      <w:r>
        <w:rPr>
          <w:rFonts w:hint="eastAsia" w:ascii="宋体" w:hAnsi="宋体" w:eastAsia="宋体" w:cs="宋体"/>
          <w:color w:val="000000" w:themeColor="text1"/>
          <w:sz w:val="24"/>
          <w:szCs w:val="24"/>
          <w14:textFill>
            <w14:solidFill>
              <w14:schemeClr w14:val="tx1"/>
            </w14:solidFill>
          </w14:textFill>
        </w:rPr>
        <w:t>-N浓度≥2000mg/L、CODCr浓度≥10000mg/L的有机废液之外的气态和可挥发造成突发大气环境事件的固态、液态风险物质。</w:t>
      </w:r>
    </w:p>
    <w:p w14:paraId="24B856E4">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判断企业生产原料、产品、中间产品、副产品、催化剂、辅助生产物料、燃料、“三废”污染物等是否涉及大气环境风险物质（混合或稀释的风险物质按其组分比例折算成纯物质），计算涉气风险物质在厂界内的存在量（如存在量呈动态变化，则按年度内最大存在量计算）与其在附录A中临界量的比值Q：</w:t>
      </w:r>
    </w:p>
    <w:p w14:paraId="6B014F27">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（1）当企业只涉及一种风险物质时，该物质的数量与其临界量比值，即为Q。</w:t>
      </w:r>
    </w:p>
    <w:p w14:paraId="6B5FF972">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（2）当企业存在多种风险物质时，则按式（1）计算</w:t>
      </w:r>
    </w:p>
    <w:p w14:paraId="17BE9AE7">
      <w:pPr>
        <w:spacing w:line="360" w:lineRule="auto"/>
        <w:ind w:firstLine="480" w:firstLineChars="200"/>
        <w:jc w:val="center"/>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position w:val="-30"/>
          <w:sz w:val="24"/>
          <w:szCs w:val="24"/>
          <w14:textFill>
            <w14:solidFill>
              <w14:schemeClr w14:val="tx1"/>
            </w14:solidFill>
          </w14:textFill>
        </w:rPr>
        <w:object>
          <v:shape id="_x0000_i1026" o:spt="75" type="#_x0000_t75" style="height:35.05pt;width:118.25pt;" o:ole="t" filled="f" o:preferrelative="t" stroked="f" coordsize="21600,21600">
            <v:path/>
            <v:fill on="f" focussize="0,0"/>
            <v:stroke on="f"/>
            <v:imagedata r:id="rId16" o:title=""/>
            <o:lock v:ext="edit" aspectratio="t"/>
            <w10:wrap type="none"/>
            <w10:anchorlock/>
          </v:shape>
          <o:OLEObject Type="Embed" ProgID="Equation.3" ShapeID="_x0000_i1026" DrawAspect="Content" ObjectID="_1468075726" r:id="rId15">
            <o:LockedField>false</o:LockedField>
          </o:OLEObject>
        </w:object>
      </w:r>
    </w:p>
    <w:p w14:paraId="251E6D80">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式中：w</w:t>
      </w:r>
      <w:r>
        <w:rPr>
          <w:rFonts w:hint="eastAsia" w:ascii="宋体" w:hAnsi="宋体" w:eastAsia="宋体" w:cs="宋体"/>
          <w:color w:val="000000" w:themeColor="text1"/>
          <w:sz w:val="24"/>
          <w:szCs w:val="24"/>
          <w:vertAlign w:val="subscript"/>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、w</w:t>
      </w:r>
      <w:r>
        <w:rPr>
          <w:rFonts w:hint="eastAsia" w:ascii="宋体" w:hAnsi="宋体" w:eastAsia="宋体" w:cs="宋体"/>
          <w:color w:val="000000" w:themeColor="text1"/>
          <w:sz w:val="24"/>
          <w:szCs w:val="24"/>
          <w:vertAlign w:val="subscript"/>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……w</w:t>
      </w:r>
      <w:r>
        <w:rPr>
          <w:rFonts w:hint="eastAsia" w:ascii="宋体" w:hAnsi="宋体" w:eastAsia="宋体" w:cs="宋体"/>
          <w:color w:val="000000" w:themeColor="text1"/>
          <w:sz w:val="24"/>
          <w:szCs w:val="24"/>
          <w:vertAlign w:val="subscript"/>
          <w14:textFill>
            <w14:solidFill>
              <w14:schemeClr w14:val="tx1"/>
            </w14:solidFill>
          </w14:textFill>
        </w:rPr>
        <w:t>n</w:t>
      </w:r>
      <w:r>
        <w:rPr>
          <w:rFonts w:hint="eastAsia" w:ascii="宋体" w:hAnsi="宋体" w:eastAsia="宋体" w:cs="宋体"/>
          <w:color w:val="000000" w:themeColor="text1"/>
          <w:sz w:val="24"/>
          <w:szCs w:val="24"/>
          <w14:textFill>
            <w14:solidFill>
              <w14:schemeClr w14:val="tx1"/>
            </w14:solidFill>
          </w14:textFill>
        </w:rPr>
        <w:t>——每种危险物质实际存在量，t。</w:t>
      </w:r>
    </w:p>
    <w:p w14:paraId="444D2AC3">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     W</w:t>
      </w:r>
      <w:r>
        <w:rPr>
          <w:rFonts w:hint="eastAsia" w:ascii="宋体" w:hAnsi="宋体" w:eastAsia="宋体" w:cs="宋体"/>
          <w:color w:val="000000" w:themeColor="text1"/>
          <w:sz w:val="24"/>
          <w:szCs w:val="24"/>
          <w:vertAlign w:val="subscript"/>
          <w14:textFill>
            <w14:solidFill>
              <w14:schemeClr w14:val="tx1"/>
            </w14:solidFill>
          </w14:textFill>
        </w:rPr>
        <w:t>1</w:t>
      </w:r>
      <w:r>
        <w:rPr>
          <w:rFonts w:hint="eastAsia" w:ascii="宋体" w:hAnsi="宋体" w:eastAsia="宋体" w:cs="宋体"/>
          <w:color w:val="000000" w:themeColor="text1"/>
          <w:sz w:val="24"/>
          <w:szCs w:val="24"/>
          <w14:textFill>
            <w14:solidFill>
              <w14:schemeClr w14:val="tx1"/>
            </w14:solidFill>
          </w14:textFill>
        </w:rPr>
        <w:t>、W</w:t>
      </w:r>
      <w:r>
        <w:rPr>
          <w:rFonts w:hint="eastAsia" w:ascii="宋体" w:hAnsi="宋体" w:eastAsia="宋体" w:cs="宋体"/>
          <w:color w:val="000000" w:themeColor="text1"/>
          <w:sz w:val="24"/>
          <w:szCs w:val="24"/>
          <w:vertAlign w:val="subscript"/>
          <w14:textFill>
            <w14:solidFill>
              <w14:schemeClr w14:val="tx1"/>
            </w14:solidFill>
          </w14:textFill>
        </w:rPr>
        <w:t>2</w:t>
      </w:r>
      <w:r>
        <w:rPr>
          <w:rFonts w:hint="eastAsia" w:ascii="宋体" w:hAnsi="宋体" w:eastAsia="宋体" w:cs="宋体"/>
          <w:color w:val="000000" w:themeColor="text1"/>
          <w:sz w:val="24"/>
          <w:szCs w:val="24"/>
          <w14:textFill>
            <w14:solidFill>
              <w14:schemeClr w14:val="tx1"/>
            </w14:solidFill>
          </w14:textFill>
        </w:rPr>
        <w:t>……W</w:t>
      </w:r>
      <w:r>
        <w:rPr>
          <w:rFonts w:hint="eastAsia" w:ascii="宋体" w:hAnsi="宋体" w:eastAsia="宋体" w:cs="宋体"/>
          <w:color w:val="000000" w:themeColor="text1"/>
          <w:sz w:val="24"/>
          <w:szCs w:val="24"/>
          <w:vertAlign w:val="subscript"/>
          <w14:textFill>
            <w14:solidFill>
              <w14:schemeClr w14:val="tx1"/>
            </w14:solidFill>
          </w14:textFill>
        </w:rPr>
        <w:t>n</w:t>
      </w:r>
      <w:r>
        <w:rPr>
          <w:rFonts w:hint="eastAsia" w:ascii="宋体" w:hAnsi="宋体" w:eastAsia="宋体" w:cs="宋体"/>
          <w:color w:val="000000" w:themeColor="text1"/>
          <w:sz w:val="24"/>
          <w:szCs w:val="24"/>
          <w14:textFill>
            <w14:solidFill>
              <w14:schemeClr w14:val="tx1"/>
            </w14:solidFill>
          </w14:textFill>
        </w:rPr>
        <w:t>——每种环境风险物质的临界量，t。</w:t>
      </w:r>
    </w:p>
    <w:p w14:paraId="48F148C0">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按照数值大小，将Q值划分为4个水平，</w:t>
      </w:r>
    </w:p>
    <w:p w14:paraId="4A2170C7">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（1）Q＜1，以Q0表示，企业直接评为一般环境风险；</w:t>
      </w:r>
    </w:p>
    <w:p w14:paraId="09B56531">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（2）1≤Q＜10</w:t>
      </w:r>
      <w:r>
        <w:rPr>
          <w:rFonts w:hint="eastAsia" w:ascii="宋体" w:hAnsi="宋体" w:eastAsia="宋体" w:cs="宋体"/>
          <w:color w:val="000000" w:themeColor="text1"/>
          <w:sz w:val="24"/>
          <w:szCs w:val="24"/>
          <w14:textFill>
            <w14:solidFill>
              <w14:schemeClr w14:val="tx1"/>
            </w14:solidFill>
          </w14:textFill>
        </w:rPr>
        <w:fldChar w:fldCharType="begin"/>
      </w:r>
      <w:r>
        <w:rPr>
          <w:rFonts w:hint="eastAsia" w:ascii="宋体" w:hAnsi="宋体" w:eastAsia="宋体" w:cs="宋体"/>
          <w:color w:val="000000" w:themeColor="text1"/>
          <w:sz w:val="24"/>
          <w:szCs w:val="24"/>
          <w14:textFill>
            <w14:solidFill>
              <w14:schemeClr w14:val="tx1"/>
            </w14:solidFill>
          </w14:textFill>
        </w:rPr>
        <w:instrText xml:space="preserve"> QUOTE </w:instrText>
      </w:r>
      <w:r>
        <w:rPr>
          <w:rFonts w:hint="eastAsia" w:ascii="宋体" w:hAnsi="宋体" w:eastAsia="宋体" w:cs="宋体"/>
          <w:color w:val="000000" w:themeColor="text1"/>
          <w:position w:val="-21"/>
          <w:sz w:val="24"/>
          <w:szCs w:val="24"/>
          <w14:textFill>
            <w14:solidFill>
              <w14:schemeClr w14:val="tx1"/>
            </w14:solidFill>
          </w14:textFill>
        </w:rPr>
        <w:drawing>
          <wp:inline distT="0" distB="0" distL="114300" distR="114300">
            <wp:extent cx="876300" cy="409575"/>
            <wp:effectExtent l="0" t="0" r="0" b="952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17"/>
                    <a:stretch>
                      <a:fillRect/>
                    </a:stretch>
                  </pic:blipFill>
                  <pic:spPr>
                    <a:xfrm>
                      <a:off x="0" y="0"/>
                      <a:ext cx="876300" cy="409575"/>
                    </a:xfrm>
                    <a:prstGeom prst="rect">
                      <a:avLst/>
                    </a:prstGeom>
                    <a:noFill/>
                    <a:ln>
                      <a:noFill/>
                    </a:ln>
                  </pic:spPr>
                </pic:pic>
              </a:graphicData>
            </a:graphic>
          </wp:inline>
        </w:drawing>
      </w:r>
      <w:r>
        <w:rPr>
          <w:rFonts w:hint="eastAsia" w:ascii="宋体" w:hAnsi="宋体" w:eastAsia="宋体" w:cs="宋体"/>
          <w:color w:val="000000" w:themeColor="text1"/>
          <w:sz w:val="24"/>
          <w:szCs w:val="24"/>
          <w14:textFill>
            <w14:solidFill>
              <w14:schemeClr w14:val="tx1"/>
            </w14:solidFill>
          </w14:textFill>
        </w:rPr>
        <w:instrText xml:space="preserve"> </w:instrText>
      </w:r>
      <w:r>
        <w:rPr>
          <w:rFonts w:hint="eastAsia" w:ascii="宋体" w:hAnsi="宋体" w:eastAsia="宋体" w:cs="宋体"/>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fldChar w:fldCharType="end"/>
      </w:r>
      <w:r>
        <w:rPr>
          <w:rFonts w:hint="eastAsia" w:ascii="宋体" w:hAnsi="宋体" w:eastAsia="宋体" w:cs="宋体"/>
          <w:color w:val="000000" w:themeColor="text1"/>
          <w:sz w:val="24"/>
          <w:szCs w:val="24"/>
          <w14:textFill>
            <w14:solidFill>
              <w14:schemeClr w14:val="tx1"/>
            </w14:solidFill>
          </w14:textFill>
        </w:rPr>
        <w:t>；以Q1表示；</w:t>
      </w:r>
    </w:p>
    <w:p w14:paraId="10C9CF51">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w:t>
      </w:r>
      <w:r>
        <w:rPr>
          <w:rFonts w:hint="eastAsia" w:ascii="宋体" w:hAnsi="宋体" w:eastAsia="宋体" w:cs="宋体"/>
          <w:color w:val="000000" w:themeColor="text1"/>
          <w:sz w:val="24"/>
          <w:szCs w:val="24"/>
          <w14:textFill>
            <w14:solidFill>
              <w14:schemeClr w14:val="tx1"/>
            </w14:solidFill>
          </w14:textFill>
        </w:rPr>
        <w:fldChar w:fldCharType="begin"/>
      </w:r>
      <w:r>
        <w:rPr>
          <w:rFonts w:hint="eastAsia" w:ascii="宋体" w:hAnsi="宋体" w:eastAsia="宋体" w:cs="宋体"/>
          <w:color w:val="000000" w:themeColor="text1"/>
          <w:sz w:val="24"/>
          <w:szCs w:val="24"/>
          <w14:textFill>
            <w14:solidFill>
              <w14:schemeClr w14:val="tx1"/>
            </w14:solidFill>
          </w14:textFill>
        </w:rPr>
        <w:instrText xml:space="preserve"> QUOTE </w:instrText>
      </w:r>
      <w:r>
        <w:rPr>
          <w:rFonts w:hint="eastAsia" w:ascii="宋体" w:hAnsi="宋体" w:eastAsia="宋体" w:cs="宋体"/>
          <w:color w:val="000000" w:themeColor="text1"/>
          <w:position w:val="-21"/>
          <w:sz w:val="24"/>
          <w:szCs w:val="24"/>
          <w14:textFill>
            <w14:solidFill>
              <w14:schemeClr w14:val="tx1"/>
            </w14:solidFill>
          </w14:textFill>
        </w:rPr>
        <w:drawing>
          <wp:inline distT="0" distB="0" distL="114300" distR="114300">
            <wp:extent cx="1076325" cy="409575"/>
            <wp:effectExtent l="0" t="0" r="9525" b="952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8"/>
                    <a:stretch>
                      <a:fillRect/>
                    </a:stretch>
                  </pic:blipFill>
                  <pic:spPr>
                    <a:xfrm>
                      <a:off x="0" y="0"/>
                      <a:ext cx="1076325" cy="409575"/>
                    </a:xfrm>
                    <a:prstGeom prst="rect">
                      <a:avLst/>
                    </a:prstGeom>
                    <a:noFill/>
                    <a:ln>
                      <a:noFill/>
                    </a:ln>
                  </pic:spPr>
                </pic:pic>
              </a:graphicData>
            </a:graphic>
          </wp:inline>
        </w:drawing>
      </w:r>
      <w:r>
        <w:rPr>
          <w:rFonts w:hint="eastAsia" w:ascii="宋体" w:hAnsi="宋体" w:eastAsia="宋体" w:cs="宋体"/>
          <w:color w:val="000000" w:themeColor="text1"/>
          <w:sz w:val="24"/>
          <w:szCs w:val="24"/>
          <w14:textFill>
            <w14:solidFill>
              <w14:schemeClr w14:val="tx1"/>
            </w14:solidFill>
          </w14:textFill>
        </w:rPr>
        <w:instrText xml:space="preserve"> </w:instrText>
      </w:r>
      <w:r>
        <w:rPr>
          <w:rFonts w:hint="eastAsia" w:ascii="宋体" w:hAnsi="宋体" w:eastAsia="宋体" w:cs="宋体"/>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10≤Q＜10</w:t>
      </w:r>
      <w:r>
        <w:rPr>
          <w:rFonts w:hint="eastAsia" w:ascii="宋体" w:hAnsi="宋体" w:eastAsia="宋体" w:cs="宋体"/>
          <w:color w:val="000000" w:themeColor="text1"/>
          <w:sz w:val="24"/>
          <w:szCs w:val="24"/>
          <w14:textFill>
            <w14:solidFill>
              <w14:schemeClr w14:val="tx1"/>
            </w14:solidFill>
          </w14:textFill>
        </w:rPr>
        <w:fldChar w:fldCharType="end"/>
      </w:r>
      <w:r>
        <w:rPr>
          <w:rFonts w:hint="eastAsia" w:ascii="宋体" w:hAnsi="宋体" w:eastAsia="宋体" w:cs="宋体"/>
          <w:color w:val="000000" w:themeColor="text1"/>
          <w:sz w:val="24"/>
          <w:szCs w:val="24"/>
          <w14:textFill>
            <w14:solidFill>
              <w14:schemeClr w14:val="tx1"/>
            </w14:solidFill>
          </w14:textFill>
        </w:rPr>
        <w:t>0；以Q2表示；</w:t>
      </w:r>
    </w:p>
    <w:p w14:paraId="3D87BA2C">
      <w:pPr>
        <w:spacing w:line="360" w:lineRule="auto"/>
        <w:ind w:firstLine="480" w:firstLineChars="20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w:t>
      </w:r>
      <w:r>
        <w:rPr>
          <w:rFonts w:hint="eastAsia" w:ascii="宋体" w:hAnsi="宋体" w:eastAsia="宋体" w:cs="宋体"/>
          <w:color w:val="000000" w:themeColor="text1"/>
          <w:sz w:val="24"/>
          <w:szCs w:val="24"/>
          <w14:textFill>
            <w14:solidFill>
              <w14:schemeClr w14:val="tx1"/>
            </w14:solidFill>
          </w14:textFill>
        </w:rPr>
        <w:fldChar w:fldCharType="begin"/>
      </w:r>
      <w:r>
        <w:rPr>
          <w:rFonts w:hint="eastAsia" w:ascii="宋体" w:hAnsi="宋体" w:eastAsia="宋体" w:cs="宋体"/>
          <w:color w:val="000000" w:themeColor="text1"/>
          <w:sz w:val="24"/>
          <w:szCs w:val="24"/>
          <w14:textFill>
            <w14:solidFill>
              <w14:schemeClr w14:val="tx1"/>
            </w14:solidFill>
          </w14:textFill>
        </w:rPr>
        <w:instrText xml:space="preserve"> QUOTE </w:instrText>
      </w:r>
      <w:r>
        <w:rPr>
          <w:rFonts w:hint="eastAsia" w:ascii="宋体" w:hAnsi="宋体" w:eastAsia="宋体" w:cs="宋体"/>
          <w:color w:val="000000" w:themeColor="text1"/>
          <w:position w:val="-21"/>
          <w:sz w:val="24"/>
          <w:szCs w:val="24"/>
          <w14:textFill>
            <w14:solidFill>
              <w14:schemeClr w14:val="tx1"/>
            </w14:solidFill>
          </w14:textFill>
        </w:rPr>
        <w:drawing>
          <wp:inline distT="0" distB="0" distL="114300" distR="114300">
            <wp:extent cx="647700" cy="409575"/>
            <wp:effectExtent l="0" t="0" r="0" b="9525"/>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pic:cNvPicPr>
                      <a:picLocks noChangeAspect="1"/>
                    </pic:cNvPicPr>
                  </pic:nvPicPr>
                  <pic:blipFill>
                    <a:blip r:embed="rId19"/>
                    <a:stretch>
                      <a:fillRect/>
                    </a:stretch>
                  </pic:blipFill>
                  <pic:spPr>
                    <a:xfrm>
                      <a:off x="0" y="0"/>
                      <a:ext cx="647700" cy="409575"/>
                    </a:xfrm>
                    <a:prstGeom prst="rect">
                      <a:avLst/>
                    </a:prstGeom>
                    <a:noFill/>
                    <a:ln>
                      <a:noFill/>
                    </a:ln>
                  </pic:spPr>
                </pic:pic>
              </a:graphicData>
            </a:graphic>
          </wp:inline>
        </w:drawing>
      </w:r>
      <w:r>
        <w:rPr>
          <w:rFonts w:hint="eastAsia" w:ascii="宋体" w:hAnsi="宋体" w:eastAsia="宋体" w:cs="宋体"/>
          <w:color w:val="000000" w:themeColor="text1"/>
          <w:sz w:val="24"/>
          <w:szCs w:val="24"/>
          <w14:textFill>
            <w14:solidFill>
              <w14:schemeClr w14:val="tx1"/>
            </w14:solidFill>
          </w14:textFill>
        </w:rPr>
        <w:instrText xml:space="preserve"> </w:instrText>
      </w:r>
      <w:r>
        <w:rPr>
          <w:rFonts w:hint="eastAsia" w:ascii="宋体" w:hAnsi="宋体" w:eastAsia="宋体" w:cs="宋体"/>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Q</w:t>
      </w:r>
      <w:r>
        <w:rPr>
          <w:rFonts w:hint="eastAsia" w:ascii="宋体" w:hAnsi="宋体" w:eastAsia="宋体" w:cs="宋体"/>
          <w:color w:val="000000" w:themeColor="text1"/>
          <w:sz w:val="24"/>
          <w:szCs w:val="24"/>
          <w14:textFill>
            <w14:solidFill>
              <w14:schemeClr w14:val="tx1"/>
            </w14:solidFill>
          </w14:textFill>
        </w:rPr>
        <w:fldChar w:fldCharType="end"/>
      </w:r>
      <w:r>
        <w:rPr>
          <w:rFonts w:hint="eastAsia" w:ascii="宋体" w:hAnsi="宋体" w:eastAsia="宋体" w:cs="宋体"/>
          <w:color w:val="000000" w:themeColor="text1"/>
          <w:sz w:val="24"/>
          <w:szCs w:val="24"/>
          <w14:textFill>
            <w14:solidFill>
              <w14:schemeClr w14:val="tx1"/>
            </w14:solidFill>
          </w14:textFill>
        </w:rPr>
        <w:t>≥100，以Q3表示。</w:t>
      </w:r>
    </w:p>
    <w:p w14:paraId="118A3E67">
      <w:pPr>
        <w:spacing w:line="520" w:lineRule="exact"/>
        <w:jc w:val="center"/>
        <w:rPr>
          <w:rFonts w:hint="eastAsia"/>
          <w:b w:val="0"/>
          <w:bCs/>
          <w:color w:val="000000" w:themeColor="text1"/>
          <w14:textFill>
            <w14:solidFill>
              <w14:schemeClr w14:val="tx1"/>
            </w14:solidFill>
          </w14:textFill>
        </w:rPr>
      </w:pPr>
      <w:r>
        <w:rPr>
          <w:rFonts w:hint="eastAsia" w:ascii="宋体" w:hAnsi="宋体" w:eastAsia="宋体" w:cs="宋体"/>
          <w:b w:val="0"/>
          <w:bCs/>
          <w:color w:val="000000" w:themeColor="text1"/>
          <w:kern w:val="3"/>
          <w:sz w:val="21"/>
          <w:szCs w:val="21"/>
          <w14:textFill>
            <w14:solidFill>
              <w14:schemeClr w14:val="tx1"/>
            </w14:solidFill>
          </w14:textFill>
        </w:rPr>
        <w:t>表</w:t>
      </w:r>
      <w:r>
        <w:rPr>
          <w:rFonts w:hint="eastAsia" w:ascii="宋体" w:hAnsi="宋体" w:cs="宋体"/>
          <w:b w:val="0"/>
          <w:bCs/>
          <w:color w:val="000000" w:themeColor="text1"/>
          <w:kern w:val="3"/>
          <w:sz w:val="21"/>
          <w:szCs w:val="21"/>
          <w:lang w:val="en-US" w:eastAsia="zh-CN"/>
          <w14:textFill>
            <w14:solidFill>
              <w14:schemeClr w14:val="tx1"/>
            </w14:solidFill>
          </w14:textFill>
        </w:rPr>
        <w:t>7</w:t>
      </w:r>
      <w:r>
        <w:rPr>
          <w:rFonts w:hint="eastAsia" w:ascii="宋体" w:hAnsi="宋体" w:eastAsia="宋体" w:cs="宋体"/>
          <w:b w:val="0"/>
          <w:bCs/>
          <w:color w:val="000000" w:themeColor="text1"/>
          <w:kern w:val="3"/>
          <w:sz w:val="21"/>
          <w:szCs w:val="21"/>
          <w14:textFill>
            <w14:solidFill>
              <w14:schemeClr w14:val="tx1"/>
            </w14:solidFill>
          </w14:textFill>
        </w:rPr>
        <w:t>-1 公司</w:t>
      </w:r>
      <w:r>
        <w:rPr>
          <w:rFonts w:hint="eastAsia" w:ascii="宋体" w:hAnsi="宋体" w:cs="宋体"/>
          <w:b w:val="0"/>
          <w:bCs/>
          <w:color w:val="000000" w:themeColor="text1"/>
          <w:kern w:val="3"/>
          <w:sz w:val="21"/>
          <w:szCs w:val="21"/>
          <w:lang w:eastAsia="zh-CN"/>
          <w14:textFill>
            <w14:solidFill>
              <w14:schemeClr w14:val="tx1"/>
            </w14:solidFill>
          </w14:textFill>
        </w:rPr>
        <w:t>大气</w:t>
      </w:r>
      <w:r>
        <w:rPr>
          <w:rFonts w:hint="eastAsia" w:ascii="宋体" w:hAnsi="宋体" w:eastAsia="宋体" w:cs="宋体"/>
          <w:b w:val="0"/>
          <w:bCs/>
          <w:color w:val="000000" w:themeColor="text1"/>
          <w:kern w:val="3"/>
          <w:sz w:val="21"/>
          <w:szCs w:val="21"/>
          <w14:textFill>
            <w14:solidFill>
              <w14:schemeClr w14:val="tx1"/>
            </w14:solidFill>
          </w14:textFill>
        </w:rPr>
        <w:t>环境风险物质与临界量的比值结果</w:t>
      </w:r>
    </w:p>
    <w:tbl>
      <w:tblPr>
        <w:tblStyle w:val="23"/>
        <w:tblW w:w="9071"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486"/>
        <w:gridCol w:w="1020"/>
        <w:gridCol w:w="1428"/>
        <w:gridCol w:w="1054"/>
        <w:gridCol w:w="835"/>
        <w:gridCol w:w="1358"/>
        <w:gridCol w:w="1890"/>
      </w:tblGrid>
      <w:tr w14:paraId="01027AF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1486" w:type="dxa"/>
            <w:tcBorders>
              <w:tl2br w:val="nil"/>
              <w:tr2bl w:val="nil"/>
            </w:tcBorders>
            <w:noWrap w:val="0"/>
            <w:vAlign w:val="center"/>
          </w:tcPr>
          <w:p w14:paraId="008F2ECC">
            <w:pPr>
              <w:spacing w:line="24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风险物质名称</w:t>
            </w:r>
          </w:p>
        </w:tc>
        <w:tc>
          <w:tcPr>
            <w:tcW w:w="1020" w:type="dxa"/>
            <w:tcBorders>
              <w:tl2br w:val="nil"/>
              <w:tr2bl w:val="nil"/>
            </w:tcBorders>
            <w:noWrap w:val="0"/>
            <w:vAlign w:val="center"/>
          </w:tcPr>
          <w:p w14:paraId="60F9917E">
            <w:pPr>
              <w:spacing w:line="240" w:lineRule="auto"/>
              <w:jc w:val="center"/>
              <w:rPr>
                <w:rFonts w:hint="default" w:ascii="宋体" w:hAnsi="宋体" w:eastAsia="宋体" w:cs="宋体"/>
                <w:b/>
                <w:bCs/>
                <w:color w:val="000000" w:themeColor="text1"/>
                <w:sz w:val="21"/>
                <w:szCs w:val="21"/>
                <w:lang w:val="en-US" w:eastAsia="zh-CN"/>
                <w14:textFill>
                  <w14:solidFill>
                    <w14:schemeClr w14:val="tx1"/>
                  </w14:solidFill>
                </w14:textFill>
              </w:rPr>
            </w:pPr>
            <w:r>
              <w:rPr>
                <w:rFonts w:hint="eastAsia" w:ascii="宋体" w:hAnsi="宋体" w:cs="宋体"/>
                <w:b/>
                <w:bCs/>
                <w:color w:val="000000" w:themeColor="text1"/>
                <w:sz w:val="21"/>
                <w:szCs w:val="21"/>
                <w:lang w:val="en-US" w:eastAsia="zh-CN"/>
                <w14:textFill>
                  <w14:solidFill>
                    <w14:schemeClr w14:val="tx1"/>
                  </w14:solidFill>
                </w14:textFill>
              </w:rPr>
              <w:t>CAS号</w:t>
            </w:r>
          </w:p>
        </w:tc>
        <w:tc>
          <w:tcPr>
            <w:tcW w:w="1428" w:type="dxa"/>
            <w:tcBorders>
              <w:tl2br w:val="nil"/>
              <w:tr2bl w:val="nil"/>
            </w:tcBorders>
            <w:noWrap w:val="0"/>
            <w:vAlign w:val="center"/>
          </w:tcPr>
          <w:p w14:paraId="0CE90EAD">
            <w:pPr>
              <w:spacing w:line="24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物质特性</w:t>
            </w:r>
          </w:p>
        </w:tc>
        <w:tc>
          <w:tcPr>
            <w:tcW w:w="1054" w:type="dxa"/>
            <w:tcBorders>
              <w:tl2br w:val="nil"/>
              <w:tr2bl w:val="nil"/>
            </w:tcBorders>
            <w:noWrap w:val="0"/>
            <w:vAlign w:val="center"/>
          </w:tcPr>
          <w:p w14:paraId="2C139D05">
            <w:pPr>
              <w:spacing w:line="24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最大储存量</w:t>
            </w:r>
          </w:p>
        </w:tc>
        <w:tc>
          <w:tcPr>
            <w:tcW w:w="835" w:type="dxa"/>
            <w:tcBorders>
              <w:tl2br w:val="nil"/>
              <w:tr2bl w:val="nil"/>
            </w:tcBorders>
            <w:noWrap w:val="0"/>
            <w:vAlign w:val="center"/>
          </w:tcPr>
          <w:p w14:paraId="45B6B369">
            <w:pPr>
              <w:spacing w:line="24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t>临界量</w:t>
            </w:r>
          </w:p>
        </w:tc>
        <w:tc>
          <w:tcPr>
            <w:tcW w:w="1358" w:type="dxa"/>
            <w:tcBorders>
              <w:tl2br w:val="nil"/>
              <w:tr2bl w:val="nil"/>
            </w:tcBorders>
            <w:noWrap w:val="0"/>
            <w:vAlign w:val="center"/>
          </w:tcPr>
          <w:p w14:paraId="6BB175CD">
            <w:pPr>
              <w:spacing w:line="24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drawing>
                <wp:inline distT="0" distB="0" distL="114300" distR="114300">
                  <wp:extent cx="142875" cy="409575"/>
                  <wp:effectExtent l="0" t="0" r="9525" b="9525"/>
                  <wp:docPr id="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9"/>
                          <pic:cNvPicPr>
                            <a:picLocks noChangeAspect="1"/>
                          </pic:cNvPicPr>
                        </pic:nvPicPr>
                        <pic:blipFill>
                          <a:blip r:embed="rId20"/>
                          <a:stretch>
                            <a:fillRect/>
                          </a:stretch>
                        </pic:blipFill>
                        <pic:spPr>
                          <a:xfrm>
                            <a:off x="0" y="0"/>
                            <a:ext cx="142875" cy="409575"/>
                          </a:xfrm>
                          <a:prstGeom prst="rect">
                            <a:avLst/>
                          </a:prstGeom>
                          <a:noFill/>
                          <a:ln>
                            <a:noFill/>
                          </a:ln>
                        </pic:spPr>
                      </pic:pic>
                    </a:graphicData>
                  </a:graphic>
                </wp:inline>
              </w:drawing>
            </w:r>
          </w:p>
        </w:tc>
        <w:tc>
          <w:tcPr>
            <w:tcW w:w="1890" w:type="dxa"/>
            <w:tcBorders>
              <w:tl2br w:val="nil"/>
              <w:tr2bl w:val="nil"/>
            </w:tcBorders>
            <w:noWrap w:val="0"/>
            <w:vAlign w:val="center"/>
          </w:tcPr>
          <w:p w14:paraId="2F376C7B">
            <w:pPr>
              <w:spacing w:line="240" w:lineRule="auto"/>
              <w:jc w:val="center"/>
              <w:rPr>
                <w:rFonts w:hint="eastAsia" w:ascii="宋体" w:hAnsi="宋体" w:eastAsia="宋体" w:cs="宋体"/>
                <w:b/>
                <w:bCs/>
                <w:color w:val="000000" w:themeColor="text1"/>
                <w:sz w:val="21"/>
                <w:szCs w:val="21"/>
                <w14:textFill>
                  <w14:solidFill>
                    <w14:schemeClr w14:val="tx1"/>
                  </w14:solidFill>
                </w14:textFill>
              </w:rPr>
            </w:pPr>
            <w:r>
              <w:rPr>
                <w:rFonts w:hint="eastAsia" w:ascii="宋体" w:hAnsi="宋体" w:eastAsia="宋体" w:cs="宋体"/>
                <w:b/>
                <w:bCs/>
                <w:color w:val="000000" w:themeColor="text1"/>
                <w:sz w:val="21"/>
                <w:szCs w:val="21"/>
                <w14:textFill>
                  <w14:solidFill>
                    <w14:schemeClr w14:val="tx1"/>
                  </w14:solidFill>
                </w14:textFill>
              </w:rPr>
              <w:drawing>
                <wp:anchor distT="0" distB="0" distL="114300" distR="114300" simplePos="0" relativeHeight="251661312" behindDoc="1" locked="0" layoutInCell="1" allowOverlap="1">
                  <wp:simplePos x="0" y="0"/>
                  <wp:positionH relativeFrom="column">
                    <wp:posOffset>160020</wp:posOffset>
                  </wp:positionH>
                  <wp:positionV relativeFrom="paragraph">
                    <wp:posOffset>10160</wp:posOffset>
                  </wp:positionV>
                  <wp:extent cx="371475" cy="619125"/>
                  <wp:effectExtent l="0" t="0" r="9525" b="9525"/>
                  <wp:wrapNone/>
                  <wp:docPr id="16"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1"/>
                          <pic:cNvPicPr>
                            <a:picLocks noChangeAspect="1"/>
                          </pic:cNvPicPr>
                        </pic:nvPicPr>
                        <pic:blipFill>
                          <a:blip r:embed="rId21"/>
                          <a:stretch>
                            <a:fillRect/>
                          </a:stretch>
                        </pic:blipFill>
                        <pic:spPr>
                          <a:xfrm>
                            <a:off x="0" y="0"/>
                            <a:ext cx="371475" cy="619125"/>
                          </a:xfrm>
                          <a:prstGeom prst="rect">
                            <a:avLst/>
                          </a:prstGeom>
                          <a:noFill/>
                          <a:ln>
                            <a:noFill/>
                          </a:ln>
                        </pic:spPr>
                      </pic:pic>
                    </a:graphicData>
                  </a:graphic>
                </wp:anchor>
              </w:drawing>
            </w:r>
          </w:p>
        </w:tc>
      </w:tr>
      <w:tr w14:paraId="45C3449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78" w:hRule="atLeast"/>
          <w:jc w:val="center"/>
        </w:trPr>
        <w:tc>
          <w:tcPr>
            <w:tcW w:w="1486" w:type="dxa"/>
            <w:tcBorders>
              <w:tl2br w:val="nil"/>
              <w:tr2bl w:val="nil"/>
            </w:tcBorders>
            <w:noWrap w:val="0"/>
            <w:vAlign w:val="center"/>
          </w:tcPr>
          <w:p w14:paraId="1AC6C6C3">
            <w:pPr>
              <w:spacing w:line="240" w:lineRule="auto"/>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default"/>
                <w:color w:val="000000" w:themeColor="text1"/>
                <w:sz w:val="21"/>
                <w:szCs w:val="21"/>
                <w14:textFill>
                  <w14:solidFill>
                    <w14:schemeClr w14:val="tx1"/>
                  </w14:solidFill>
                </w14:textFill>
              </w:rPr>
              <w:t>油类物质（废机油）</w:t>
            </w:r>
          </w:p>
        </w:tc>
        <w:tc>
          <w:tcPr>
            <w:tcW w:w="1020" w:type="dxa"/>
            <w:tcBorders>
              <w:tl2br w:val="nil"/>
              <w:tr2bl w:val="nil"/>
            </w:tcBorders>
            <w:noWrap w:val="0"/>
            <w:vAlign w:val="center"/>
          </w:tcPr>
          <w:p w14:paraId="16064843">
            <w:pPr>
              <w:spacing w:line="240" w:lineRule="auto"/>
              <w:jc w:val="center"/>
              <w:rPr>
                <w:rFonts w:hint="default"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w:t>
            </w:r>
          </w:p>
        </w:tc>
        <w:tc>
          <w:tcPr>
            <w:tcW w:w="1428" w:type="dxa"/>
            <w:tcBorders>
              <w:tl2br w:val="nil"/>
              <w:tr2bl w:val="nil"/>
            </w:tcBorders>
            <w:noWrap w:val="0"/>
            <w:vAlign w:val="center"/>
          </w:tcPr>
          <w:p w14:paraId="4CFCA04C">
            <w:pPr>
              <w:spacing w:line="240" w:lineRule="auto"/>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sz w:val="21"/>
                <w:szCs w:val="21"/>
                <w:lang w:eastAsia="zh-CN"/>
                <w14:textFill>
                  <w14:solidFill>
                    <w14:schemeClr w14:val="tx1"/>
                  </w14:solidFill>
                </w14:textFill>
              </w:rPr>
              <w:t>有毒、易燃</w:t>
            </w:r>
          </w:p>
        </w:tc>
        <w:tc>
          <w:tcPr>
            <w:tcW w:w="1054" w:type="dxa"/>
            <w:tcBorders>
              <w:tl2br w:val="nil"/>
              <w:tr2bl w:val="nil"/>
            </w:tcBorders>
            <w:noWrap w:val="0"/>
            <w:vAlign w:val="center"/>
          </w:tcPr>
          <w:p w14:paraId="1ED23513">
            <w:pPr>
              <w:spacing w:line="240" w:lineRule="auto"/>
              <w:jc w:val="center"/>
              <w:rPr>
                <w:rFonts w:hint="default"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sz w:val="21"/>
                <w:szCs w:val="21"/>
                <w:lang w:val="en-US" w:eastAsia="zh-CN"/>
                <w14:textFill>
                  <w14:solidFill>
                    <w14:schemeClr w14:val="tx1"/>
                  </w14:solidFill>
                </w14:textFill>
              </w:rPr>
              <w:t>0.0</w:t>
            </w:r>
            <w:r>
              <w:rPr>
                <w:rFonts w:hint="eastAsia" w:ascii="宋体" w:hAnsi="宋体" w:cs="宋体"/>
                <w:color w:val="000000" w:themeColor="text1"/>
                <w:sz w:val="21"/>
                <w:szCs w:val="21"/>
                <w:lang w:val="en-US" w:eastAsia="zh-CN"/>
                <w14:textFill>
                  <w14:solidFill>
                    <w14:schemeClr w14:val="tx1"/>
                  </w14:solidFill>
                </w14:textFill>
              </w:rPr>
              <w:t>2</w:t>
            </w:r>
          </w:p>
        </w:tc>
        <w:tc>
          <w:tcPr>
            <w:tcW w:w="835" w:type="dxa"/>
            <w:tcBorders>
              <w:tl2br w:val="nil"/>
              <w:tr2bl w:val="nil"/>
            </w:tcBorders>
            <w:noWrap w:val="0"/>
            <w:vAlign w:val="center"/>
          </w:tcPr>
          <w:p w14:paraId="5F6522CC">
            <w:pPr>
              <w:pStyle w:val="48"/>
              <w:bidi w:val="0"/>
              <w:ind w:firstLine="0" w:firstLineChars="0"/>
              <w:rPr>
                <w:rFonts w:hint="eastAsia" w:ascii="Calibri" w:hAnsi="Calibri" w:eastAsia="宋体" w:cs="Times New Roman"/>
                <w:color w:val="000000" w:themeColor="text1"/>
                <w:kern w:val="0"/>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2500</w:t>
            </w:r>
            <w:r>
              <w:rPr>
                <w:rFonts w:hint="eastAsia" w:ascii="宋体" w:hAnsi="宋体" w:cs="宋体"/>
                <w:color w:val="000000" w:themeColor="text1"/>
                <w:kern w:val="2"/>
                <w:sz w:val="21"/>
                <w:szCs w:val="21"/>
                <w:lang w:val="en-US" w:eastAsia="zh-CN" w:bidi="ar-SA"/>
                <w14:textFill>
                  <w14:solidFill>
                    <w14:schemeClr w14:val="tx1"/>
                  </w14:solidFill>
                </w14:textFill>
              </w:rPr>
              <w:t>t</w:t>
            </w:r>
          </w:p>
        </w:tc>
        <w:tc>
          <w:tcPr>
            <w:tcW w:w="1358" w:type="dxa"/>
            <w:tcBorders>
              <w:tl2br w:val="nil"/>
              <w:tr2bl w:val="nil"/>
            </w:tcBorders>
            <w:noWrap w:val="0"/>
            <w:vAlign w:val="center"/>
          </w:tcPr>
          <w:p w14:paraId="3E505CBF">
            <w:pPr>
              <w:jc w:val="center"/>
              <w:rPr>
                <w:rFonts w:hint="default" w:ascii="宋体" w:hAnsi="宋体" w:eastAsia="宋体" w:cs="宋体"/>
                <w:color w:val="000000" w:themeColor="text1"/>
                <w:kern w:val="2"/>
                <w:sz w:val="21"/>
                <w:szCs w:val="21"/>
                <w:lang w:val="en-US" w:eastAsia="zh-CN" w:bidi="ar-SA"/>
                <w14:textFill>
                  <w14:solidFill>
                    <w14:schemeClr w14:val="tx1"/>
                  </w14:solidFill>
                </w14:textFill>
              </w:rPr>
            </w:pPr>
            <w:r>
              <w:rPr>
                <w:color w:val="000000" w:themeColor="text1"/>
                <w:szCs w:val="21"/>
                <w14:textFill>
                  <w14:solidFill>
                    <w14:schemeClr w14:val="tx1"/>
                  </w14:solidFill>
                </w14:textFill>
              </w:rPr>
              <w:t>0.000008</w:t>
            </w:r>
          </w:p>
        </w:tc>
        <w:tc>
          <w:tcPr>
            <w:tcW w:w="1890" w:type="dxa"/>
            <w:tcBorders>
              <w:tl2br w:val="nil"/>
              <w:tr2bl w:val="nil"/>
            </w:tcBorders>
            <w:noWrap w:val="0"/>
            <w:vAlign w:val="center"/>
          </w:tcPr>
          <w:p w14:paraId="777F7AF2">
            <w:pPr>
              <w:spacing w:line="240" w:lineRule="auto"/>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eastAsia="宋体" w:cs="宋体"/>
                <w:color w:val="000000" w:themeColor="text1"/>
                <w:kern w:val="2"/>
                <w:sz w:val="21"/>
                <w:szCs w:val="21"/>
                <w:lang w:val="en-US" w:eastAsia="zh-CN" w:bidi="ar-SA"/>
                <w14:textFill>
                  <w14:solidFill>
                    <w14:schemeClr w14:val="tx1"/>
                  </w14:solidFill>
                </w14:textFill>
              </w:rPr>
              <w:t>0.0000</w:t>
            </w:r>
            <w:r>
              <w:rPr>
                <w:rFonts w:hint="eastAsia" w:ascii="宋体" w:hAnsi="宋体" w:cs="宋体"/>
                <w:color w:val="000000" w:themeColor="text1"/>
                <w:kern w:val="2"/>
                <w:sz w:val="21"/>
                <w:szCs w:val="21"/>
                <w:lang w:val="en-US" w:eastAsia="zh-CN" w:bidi="ar-SA"/>
                <w14:textFill>
                  <w14:solidFill>
                    <w14:schemeClr w14:val="tx1"/>
                  </w14:solidFill>
                </w14:textFill>
              </w:rPr>
              <w:t>08</w:t>
            </w:r>
            <w:r>
              <w:rPr>
                <w:rFonts w:hint="eastAsia" w:ascii="宋体" w:hAnsi="宋体" w:eastAsia="宋体" w:cs="宋体"/>
                <w:color w:val="000000" w:themeColor="text1"/>
                <w:kern w:val="2"/>
                <w:sz w:val="21"/>
                <w:szCs w:val="21"/>
                <w:lang w:val="en-US" w:eastAsia="zh-CN" w:bidi="ar-SA"/>
                <w14:textFill>
                  <w14:solidFill>
                    <w14:schemeClr w14:val="tx1"/>
                  </w14:solidFill>
                </w14:textFill>
              </w:rPr>
              <w:t>＜1</w:t>
            </w:r>
          </w:p>
        </w:tc>
      </w:tr>
      <w:tr w14:paraId="15C01B8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763" w:hRule="atLeast"/>
          <w:jc w:val="center"/>
        </w:trPr>
        <w:tc>
          <w:tcPr>
            <w:tcW w:w="1486" w:type="dxa"/>
            <w:tcBorders>
              <w:tl2br w:val="nil"/>
              <w:tr2bl w:val="nil"/>
            </w:tcBorders>
            <w:noWrap w:val="0"/>
            <w:vAlign w:val="center"/>
          </w:tcPr>
          <w:p w14:paraId="3E9C23F9">
            <w:pPr>
              <w:jc w:val="center"/>
              <w:rPr>
                <w:rFonts w:hint="eastAsia" w:ascii="Calibri" w:hAnsi="Calibri" w:eastAsia="宋体" w:cs="Times New Roman"/>
                <w:color w:val="000000" w:themeColor="text1"/>
                <w:kern w:val="2"/>
                <w:sz w:val="21"/>
                <w:szCs w:val="21"/>
                <w:lang w:val="en-US" w:eastAsia="zh-CN" w:bidi="ar-SA"/>
                <w14:textFill>
                  <w14:solidFill>
                    <w14:schemeClr w14:val="tx1"/>
                  </w14:solidFill>
                </w14:textFill>
              </w:rPr>
            </w:pPr>
            <w:r>
              <w:rPr>
                <w:rFonts w:hint="eastAsia"/>
                <w:color w:val="000000" w:themeColor="text1"/>
                <w:sz w:val="21"/>
                <w:szCs w:val="21"/>
                <w:lang w:eastAsia="zh-CN"/>
                <w14:textFill>
                  <w14:solidFill>
                    <w14:schemeClr w14:val="tx1"/>
                  </w14:solidFill>
                </w14:textFill>
              </w:rPr>
              <w:t>（</w:t>
            </w:r>
            <w:r>
              <w:rPr>
                <w:rFonts w:hint="default"/>
                <w:color w:val="000000" w:themeColor="text1"/>
                <w:sz w:val="21"/>
                <w:szCs w:val="21"/>
                <w14:textFill>
                  <w14:solidFill>
                    <w14:schemeClr w14:val="tx1"/>
                  </w14:solidFill>
                </w14:textFill>
              </w:rPr>
              <w:t>油类物质</w:t>
            </w:r>
            <w:r>
              <w:rPr>
                <w:rFonts w:hint="eastAsia"/>
                <w:color w:val="000000" w:themeColor="text1"/>
                <w:sz w:val="21"/>
                <w:szCs w:val="21"/>
                <w:lang w:eastAsia="zh-CN"/>
                <w14:textFill>
                  <w14:solidFill>
                    <w14:schemeClr w14:val="tx1"/>
                  </w14:solidFill>
                </w14:textFill>
              </w:rPr>
              <w:t>）</w:t>
            </w:r>
            <w:r>
              <w:rPr>
                <w:color w:val="000000" w:themeColor="text1"/>
                <w:szCs w:val="21"/>
                <w14:textFill>
                  <w14:solidFill>
                    <w14:schemeClr w14:val="tx1"/>
                  </w14:solidFill>
                </w14:textFill>
              </w:rPr>
              <w:t>松节油</w:t>
            </w:r>
          </w:p>
        </w:tc>
        <w:tc>
          <w:tcPr>
            <w:tcW w:w="1020" w:type="dxa"/>
            <w:tcBorders>
              <w:tl2br w:val="nil"/>
              <w:tr2bl w:val="nil"/>
            </w:tcBorders>
            <w:noWrap w:val="0"/>
            <w:vAlign w:val="center"/>
          </w:tcPr>
          <w:p w14:paraId="3A77AC51">
            <w:pPr>
              <w:jc w:val="center"/>
              <w:rPr>
                <w:rFonts w:hint="default" w:ascii="Calibri" w:hAnsi="Calibri" w:eastAsia="宋体" w:cs="Times New Roman"/>
                <w:color w:val="000000" w:themeColor="text1"/>
                <w:kern w:val="2"/>
                <w:sz w:val="21"/>
                <w:szCs w:val="21"/>
                <w:lang w:val="en-US" w:eastAsia="zh-CN" w:bidi="ar-SA"/>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w:t>
            </w:r>
          </w:p>
        </w:tc>
        <w:tc>
          <w:tcPr>
            <w:tcW w:w="1428" w:type="dxa"/>
            <w:tcBorders>
              <w:tl2br w:val="nil"/>
              <w:tr2bl w:val="nil"/>
            </w:tcBorders>
            <w:noWrap w:val="0"/>
            <w:vAlign w:val="center"/>
          </w:tcPr>
          <w:p w14:paraId="188FD8E2">
            <w:pPr>
              <w:spacing w:line="240" w:lineRule="auto"/>
              <w:jc w:val="center"/>
              <w:rPr>
                <w:rFonts w:hint="eastAsia" w:ascii="宋体" w:hAnsi="宋体" w:eastAsia="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易燃</w:t>
            </w:r>
          </w:p>
        </w:tc>
        <w:tc>
          <w:tcPr>
            <w:tcW w:w="1054" w:type="dxa"/>
            <w:tcBorders>
              <w:tl2br w:val="nil"/>
              <w:tr2bl w:val="nil"/>
            </w:tcBorders>
            <w:noWrap w:val="0"/>
            <w:vAlign w:val="center"/>
          </w:tcPr>
          <w:p w14:paraId="7FDEE43F">
            <w:pPr>
              <w:jc w:val="center"/>
              <w:rPr>
                <w:rFonts w:hint="default" w:ascii="宋体" w:hAnsi="宋体" w:eastAsia="宋体" w:cs="宋体"/>
                <w:color w:val="000000" w:themeColor="text1"/>
                <w:spacing w:val="-3"/>
                <w:sz w:val="21"/>
                <w:szCs w:val="21"/>
                <w:lang w:val="en-US" w:eastAsia="zh-CN"/>
                <w14:textFill>
                  <w14:solidFill>
                    <w14:schemeClr w14:val="tx1"/>
                  </w14:solidFill>
                </w14:textFill>
              </w:rPr>
            </w:pPr>
            <w:r>
              <w:rPr>
                <w:color w:val="000000" w:themeColor="text1"/>
                <w:szCs w:val="21"/>
                <w14:textFill>
                  <w14:solidFill>
                    <w14:schemeClr w14:val="tx1"/>
                  </w14:solidFill>
                </w14:textFill>
              </w:rPr>
              <w:t>5</w:t>
            </w:r>
          </w:p>
        </w:tc>
        <w:tc>
          <w:tcPr>
            <w:tcW w:w="835" w:type="dxa"/>
            <w:tcBorders>
              <w:tl2br w:val="nil"/>
              <w:tr2bl w:val="nil"/>
            </w:tcBorders>
            <w:noWrap w:val="0"/>
            <w:vAlign w:val="center"/>
          </w:tcPr>
          <w:p w14:paraId="47234C6C">
            <w:pPr>
              <w:spacing w:line="240" w:lineRule="auto"/>
              <w:jc w:val="center"/>
              <w:rPr>
                <w:rFonts w:hint="default" w:ascii="宋体" w:hAnsi="宋体" w:eastAsia="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2500t</w:t>
            </w:r>
          </w:p>
        </w:tc>
        <w:tc>
          <w:tcPr>
            <w:tcW w:w="1358" w:type="dxa"/>
            <w:tcBorders>
              <w:tl2br w:val="nil"/>
              <w:tr2bl w:val="nil"/>
            </w:tcBorders>
            <w:noWrap w:val="0"/>
            <w:vAlign w:val="center"/>
          </w:tcPr>
          <w:p w14:paraId="75045917">
            <w:pPr>
              <w:spacing w:line="240" w:lineRule="auto"/>
              <w:jc w:val="center"/>
              <w:rPr>
                <w:rFonts w:hint="default" w:ascii="宋体" w:hAnsi="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0.002</w:t>
            </w:r>
          </w:p>
        </w:tc>
        <w:tc>
          <w:tcPr>
            <w:tcW w:w="1890" w:type="dxa"/>
            <w:tcBorders>
              <w:tl2br w:val="nil"/>
              <w:tr2bl w:val="nil"/>
            </w:tcBorders>
            <w:noWrap w:val="0"/>
            <w:vAlign w:val="center"/>
          </w:tcPr>
          <w:p w14:paraId="26CA412A">
            <w:pPr>
              <w:spacing w:line="240" w:lineRule="auto"/>
              <w:jc w:val="center"/>
              <w:rPr>
                <w:rFonts w:hint="default" w:ascii="宋体" w:hAnsi="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0.002＜1</w:t>
            </w:r>
          </w:p>
        </w:tc>
      </w:tr>
      <w:tr w14:paraId="7E7FB17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883" w:hRule="atLeast"/>
          <w:jc w:val="center"/>
        </w:trPr>
        <w:tc>
          <w:tcPr>
            <w:tcW w:w="1486" w:type="dxa"/>
            <w:tcBorders>
              <w:tl2br w:val="nil"/>
              <w:tr2bl w:val="nil"/>
            </w:tcBorders>
            <w:noWrap w:val="0"/>
            <w:vAlign w:val="center"/>
          </w:tcPr>
          <w:p w14:paraId="2860566D">
            <w:pPr>
              <w:jc w:val="center"/>
              <w:rPr>
                <w:rFonts w:hint="default"/>
                <w:color w:val="000000" w:themeColor="text1"/>
                <w:szCs w:val="21"/>
                <w:lang w:val="en-US" w:eastAsia="zh-CN"/>
                <w14:textFill>
                  <w14:solidFill>
                    <w14:schemeClr w14:val="tx1"/>
                  </w14:solidFill>
                </w14:textFill>
              </w:rPr>
            </w:pPr>
            <w:r>
              <w:rPr>
                <w:rFonts w:hint="eastAsia"/>
                <w:color w:val="000000" w:themeColor="text1"/>
                <w:szCs w:val="21"/>
                <w:lang w:val="en-US" w:eastAsia="zh-CN"/>
                <w14:textFill>
                  <w14:solidFill>
                    <w14:schemeClr w14:val="tx1"/>
                  </w14:solidFill>
                </w14:textFill>
              </w:rPr>
              <w:t>松香</w:t>
            </w:r>
          </w:p>
        </w:tc>
        <w:tc>
          <w:tcPr>
            <w:tcW w:w="1020" w:type="dxa"/>
            <w:tcBorders>
              <w:tl2br w:val="nil"/>
              <w:tr2bl w:val="nil"/>
            </w:tcBorders>
            <w:noWrap w:val="0"/>
            <w:vAlign w:val="center"/>
          </w:tcPr>
          <w:p w14:paraId="61BCC9AE">
            <w:pPr>
              <w:jc w:val="center"/>
              <w:rPr>
                <w:rFonts w:hint="default" w:ascii="宋体" w:hAnsi="宋体" w:cs="宋体"/>
                <w:color w:val="000000" w:themeColor="text1"/>
                <w:sz w:val="21"/>
                <w:szCs w:val="21"/>
                <w:lang w:val="en-US" w:eastAsia="zh-CN"/>
                <w14:textFill>
                  <w14:solidFill>
                    <w14:schemeClr w14:val="tx1"/>
                  </w14:solidFill>
                </w14:textFill>
              </w:rPr>
            </w:pPr>
            <w:r>
              <w:rPr>
                <w:rFonts w:hint="eastAsia" w:ascii="宋体" w:hAnsi="宋体" w:cs="宋体"/>
                <w:color w:val="000000" w:themeColor="text1"/>
                <w:sz w:val="21"/>
                <w:szCs w:val="21"/>
                <w:lang w:val="en-US" w:eastAsia="zh-CN"/>
                <w14:textFill>
                  <w14:solidFill>
                    <w14:schemeClr w14:val="tx1"/>
                  </w14:solidFill>
                </w14:textFill>
              </w:rPr>
              <w:t>--</w:t>
            </w:r>
          </w:p>
        </w:tc>
        <w:tc>
          <w:tcPr>
            <w:tcW w:w="1428" w:type="dxa"/>
            <w:tcBorders>
              <w:tl2br w:val="nil"/>
              <w:tr2bl w:val="nil"/>
            </w:tcBorders>
            <w:noWrap w:val="0"/>
            <w:vAlign w:val="center"/>
          </w:tcPr>
          <w:p w14:paraId="2DC53E64">
            <w:pPr>
              <w:spacing w:line="240" w:lineRule="auto"/>
              <w:jc w:val="center"/>
              <w:rPr>
                <w:rFonts w:hint="default" w:ascii="宋体" w:hAnsi="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易燃</w:t>
            </w:r>
          </w:p>
        </w:tc>
        <w:tc>
          <w:tcPr>
            <w:tcW w:w="1054" w:type="dxa"/>
            <w:tcBorders>
              <w:tl2br w:val="nil"/>
              <w:tr2bl w:val="nil"/>
            </w:tcBorders>
            <w:noWrap w:val="0"/>
            <w:vAlign w:val="center"/>
          </w:tcPr>
          <w:p w14:paraId="4BCCC438">
            <w:pPr>
              <w:jc w:val="center"/>
              <w:rPr>
                <w:rFonts w:hint="default" w:eastAsia="宋体"/>
                <w:color w:val="000000" w:themeColor="text1"/>
                <w:szCs w:val="21"/>
                <w:lang w:val="en-US" w:eastAsia="zh-CN"/>
                <w14:textFill>
                  <w14:solidFill>
                    <w14:schemeClr w14:val="tx1"/>
                  </w14:solidFill>
                </w14:textFill>
              </w:rPr>
            </w:pPr>
            <w:r>
              <w:rPr>
                <w:rFonts w:hint="eastAsia"/>
                <w:color w:val="000000" w:themeColor="text1"/>
                <w:szCs w:val="21"/>
                <w:lang w:val="en-US" w:eastAsia="zh-CN"/>
                <w14:textFill>
                  <w14:solidFill>
                    <w14:schemeClr w14:val="tx1"/>
                  </w14:solidFill>
                </w14:textFill>
              </w:rPr>
              <w:t>10</w:t>
            </w:r>
          </w:p>
        </w:tc>
        <w:tc>
          <w:tcPr>
            <w:tcW w:w="835" w:type="dxa"/>
            <w:tcBorders>
              <w:tl2br w:val="nil"/>
              <w:tr2bl w:val="nil"/>
            </w:tcBorders>
            <w:noWrap w:val="0"/>
            <w:vAlign w:val="center"/>
          </w:tcPr>
          <w:p w14:paraId="4C9D1176">
            <w:pPr>
              <w:spacing w:line="240" w:lineRule="auto"/>
              <w:jc w:val="center"/>
              <w:rPr>
                <w:rFonts w:hint="default" w:ascii="宋体" w:hAnsi="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2500t</w:t>
            </w:r>
          </w:p>
        </w:tc>
        <w:tc>
          <w:tcPr>
            <w:tcW w:w="1358" w:type="dxa"/>
            <w:tcBorders>
              <w:tl2br w:val="nil"/>
              <w:tr2bl w:val="nil"/>
            </w:tcBorders>
            <w:noWrap w:val="0"/>
            <w:vAlign w:val="center"/>
          </w:tcPr>
          <w:p w14:paraId="0DC1DE91">
            <w:pPr>
              <w:spacing w:line="240" w:lineRule="auto"/>
              <w:jc w:val="center"/>
              <w:rPr>
                <w:rFonts w:hint="default" w:ascii="宋体" w:hAnsi="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0.004</w:t>
            </w:r>
          </w:p>
        </w:tc>
        <w:tc>
          <w:tcPr>
            <w:tcW w:w="1890" w:type="dxa"/>
            <w:tcBorders>
              <w:tl2br w:val="nil"/>
              <w:tr2bl w:val="nil"/>
            </w:tcBorders>
            <w:noWrap w:val="0"/>
            <w:vAlign w:val="center"/>
          </w:tcPr>
          <w:p w14:paraId="573F0908">
            <w:pPr>
              <w:spacing w:line="240" w:lineRule="auto"/>
              <w:jc w:val="center"/>
              <w:rPr>
                <w:rFonts w:hint="default" w:ascii="宋体" w:hAnsi="宋体" w:cs="宋体"/>
                <w:color w:val="000000" w:themeColor="text1"/>
                <w:spacing w:val="-3"/>
                <w:sz w:val="21"/>
                <w:szCs w:val="21"/>
                <w:lang w:val="en-US" w:eastAsia="zh-CN"/>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0.004＜1</w:t>
            </w:r>
          </w:p>
        </w:tc>
      </w:tr>
      <w:tr w14:paraId="6BC42AE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5823" w:type="dxa"/>
            <w:gridSpan w:val="5"/>
            <w:tcBorders>
              <w:tl2br w:val="nil"/>
              <w:tr2bl w:val="nil"/>
            </w:tcBorders>
            <w:noWrap w:val="0"/>
            <w:vAlign w:val="center"/>
          </w:tcPr>
          <w:p w14:paraId="6A6D6DDB">
            <w:pPr>
              <w:spacing w:line="240" w:lineRule="auto"/>
              <w:jc w:val="center"/>
              <w:rPr>
                <w:rFonts w:hint="eastAsia" w:ascii="宋体" w:hAnsi="宋体" w:cs="宋体"/>
                <w:color w:val="000000" w:themeColor="text1"/>
                <w:sz w:val="21"/>
                <w:szCs w:val="21"/>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环境风险物质与临界量比值（Q）之和</w:t>
            </w:r>
          </w:p>
        </w:tc>
        <w:tc>
          <w:tcPr>
            <w:tcW w:w="1358" w:type="dxa"/>
            <w:tcBorders>
              <w:tl2br w:val="nil"/>
              <w:tr2bl w:val="nil"/>
            </w:tcBorders>
            <w:shd w:val="clear" w:color="auto" w:fill="auto"/>
            <w:noWrap w:val="0"/>
            <w:vAlign w:val="center"/>
          </w:tcPr>
          <w:p w14:paraId="1E82FC15">
            <w:pPr>
              <w:keepNext w:val="0"/>
              <w:keepLines w:val="0"/>
              <w:widowControl/>
              <w:suppressLineNumbers w:val="0"/>
              <w:jc w:val="right"/>
              <w:textAlignment w:val="center"/>
              <w:rPr>
                <w:rFonts w:hint="default" w:ascii="宋体" w:hAnsi="宋体" w:eastAsia="宋体" w:cs="宋体"/>
                <w:i w:val="0"/>
                <w:iCs w:val="0"/>
                <w:color w:val="000000" w:themeColor="text1"/>
                <w:kern w:val="2"/>
                <w:sz w:val="22"/>
                <w:szCs w:val="22"/>
                <w:u w:val="none"/>
                <w:lang w:val="en-US" w:eastAsia="zh-CN" w:bidi="ar-SA"/>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0.006008</w:t>
            </w:r>
          </w:p>
        </w:tc>
        <w:tc>
          <w:tcPr>
            <w:tcW w:w="1890" w:type="dxa"/>
            <w:tcBorders>
              <w:tl2br w:val="nil"/>
              <w:tr2bl w:val="nil"/>
            </w:tcBorders>
            <w:noWrap w:val="0"/>
            <w:vAlign w:val="center"/>
          </w:tcPr>
          <w:p w14:paraId="0335B194">
            <w:pPr>
              <w:spacing w:line="240" w:lineRule="auto"/>
              <w:jc w:val="center"/>
              <w:rPr>
                <w:rFonts w:hint="eastAsia" w:ascii="宋体" w:hAnsi="宋体" w:eastAsia="宋体" w:cs="宋体"/>
                <w:color w:val="000000" w:themeColor="text1"/>
                <w:kern w:val="2"/>
                <w:sz w:val="21"/>
                <w:szCs w:val="21"/>
                <w:lang w:val="en-US" w:eastAsia="zh-CN" w:bidi="ar-SA"/>
                <w14:textFill>
                  <w14:solidFill>
                    <w14:schemeClr w14:val="tx1"/>
                  </w14:solidFill>
                </w14:textFill>
              </w:rPr>
            </w:pPr>
            <w:r>
              <w:rPr>
                <w:rFonts w:hint="eastAsia" w:ascii="宋体" w:hAnsi="宋体" w:cs="宋体"/>
                <w:color w:val="000000" w:themeColor="text1"/>
                <w:spacing w:val="-3"/>
                <w:sz w:val="21"/>
                <w:szCs w:val="21"/>
                <w:lang w:val="en-US" w:eastAsia="zh-CN"/>
                <w14:textFill>
                  <w14:solidFill>
                    <w14:schemeClr w14:val="tx1"/>
                  </w14:solidFill>
                </w14:textFill>
              </w:rPr>
              <w:t>0.006008</w:t>
            </w:r>
            <w:r>
              <w:rPr>
                <w:rFonts w:hint="eastAsia" w:ascii="宋体" w:hAnsi="宋体" w:eastAsia="宋体" w:cs="宋体"/>
                <w:color w:val="000000" w:themeColor="text1"/>
                <w:kern w:val="2"/>
                <w:sz w:val="21"/>
                <w:szCs w:val="21"/>
                <w:lang w:val="en-US" w:eastAsia="zh-CN" w:bidi="ar-SA"/>
                <w14:textFill>
                  <w14:solidFill>
                    <w14:schemeClr w14:val="tx1"/>
                  </w14:solidFill>
                </w14:textFill>
              </w:rPr>
              <w:t>＜1</w:t>
            </w:r>
          </w:p>
        </w:tc>
      </w:tr>
    </w:tbl>
    <w:p w14:paraId="156950ED">
      <w:pPr>
        <w:pStyle w:val="40"/>
        <w:snapToGrid w:val="0"/>
        <w:spacing w:line="360" w:lineRule="auto"/>
        <w:ind w:left="0" w:leftChars="0" w:firstLine="0" w:firstLineChars="0"/>
        <w:rPr>
          <w:rFonts w:hint="eastAsia" w:ascii="宋体" w:hAnsi="宋体" w:eastAsia="宋体" w:cs="宋体"/>
          <w:color w:val="000000" w:themeColor="text1"/>
          <w:sz w:val="24"/>
          <w:szCs w:val="24"/>
          <w14:textFill>
            <w14:solidFill>
              <w14:schemeClr w14:val="tx1"/>
            </w14:solidFill>
          </w14:textFill>
        </w:rPr>
      </w:pPr>
    </w:p>
    <w:p w14:paraId="41337D4E">
      <w:pPr>
        <w:pStyle w:val="40"/>
        <w:snapToGrid w:val="0"/>
        <w:spacing w:line="360" w:lineRule="auto"/>
        <w:ind w:left="0" w:leftChars="0" w:firstLine="0" w:firstLineChars="0"/>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由上表可以看出，公司</w:t>
      </w:r>
      <w:r>
        <w:rPr>
          <w:rFonts w:hint="eastAsia" w:ascii="宋体" w:hAnsi="宋体" w:cs="宋体"/>
          <w:color w:val="000000" w:themeColor="text1"/>
          <w:sz w:val="24"/>
          <w:szCs w:val="24"/>
          <w:lang w:eastAsia="zh-CN"/>
          <w14:textFill>
            <w14:solidFill>
              <w14:schemeClr w14:val="tx1"/>
            </w14:solidFill>
          </w14:textFill>
        </w:rPr>
        <w:t>大气</w:t>
      </w:r>
      <w:r>
        <w:rPr>
          <w:rFonts w:hint="eastAsia" w:ascii="宋体" w:hAnsi="宋体" w:eastAsia="宋体" w:cs="宋体"/>
          <w:color w:val="000000" w:themeColor="text1"/>
          <w:sz w:val="24"/>
          <w:szCs w:val="24"/>
          <w14:textFill>
            <w14:solidFill>
              <w14:schemeClr w14:val="tx1"/>
            </w14:solidFill>
          </w14:textFill>
        </w:rPr>
        <w:t>环境风险物质与临界量比值（Q）之和为Q=</w:t>
      </w:r>
      <w:r>
        <w:rPr>
          <w:rFonts w:hint="eastAsia" w:ascii="宋体" w:hAnsi="宋体" w:eastAsia="宋体" w:cs="宋体"/>
          <w:color w:val="000000" w:themeColor="text1"/>
          <w:sz w:val="24"/>
          <w:szCs w:val="24"/>
          <w:lang w:val="en-US" w:eastAsia="zh-CN"/>
          <w14:textFill>
            <w14:solidFill>
              <w14:schemeClr w14:val="tx1"/>
            </w14:solidFill>
          </w14:textFill>
        </w:rPr>
        <w:t>0.006008</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fldChar w:fldCharType="begin"/>
      </w:r>
      <w:r>
        <w:rPr>
          <w:rFonts w:hint="eastAsia" w:ascii="宋体" w:hAnsi="宋体" w:eastAsia="宋体" w:cs="宋体"/>
          <w:color w:val="000000" w:themeColor="text1"/>
          <w:sz w:val="24"/>
          <w:szCs w:val="24"/>
          <w14:textFill>
            <w14:solidFill>
              <w14:schemeClr w14:val="tx1"/>
            </w14:solidFill>
          </w14:textFill>
        </w:rPr>
        <w:instrText xml:space="preserve"> QUOTE </w:instrText>
      </w:r>
      <w:r>
        <w:rPr>
          <w:rFonts w:hint="eastAsia" w:ascii="宋体" w:hAnsi="宋体" w:eastAsia="宋体" w:cs="宋体"/>
          <w:color w:val="000000" w:themeColor="text1"/>
          <w:sz w:val="24"/>
          <w:szCs w:val="24"/>
          <w14:textFill>
            <w14:solidFill>
              <w14:schemeClr w14:val="tx1"/>
            </w14:solidFill>
          </w14:textFill>
        </w:rPr>
        <w:drawing>
          <wp:inline distT="0" distB="0" distL="114300" distR="114300">
            <wp:extent cx="1076325" cy="409575"/>
            <wp:effectExtent l="0" t="0" r="9525" b="9525"/>
            <wp:docPr id="1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
                    <pic:cNvPicPr>
                      <a:picLocks noChangeAspect="1"/>
                    </pic:cNvPicPr>
                  </pic:nvPicPr>
                  <pic:blipFill>
                    <a:blip r:embed="rId18"/>
                    <a:stretch>
                      <a:fillRect/>
                    </a:stretch>
                  </pic:blipFill>
                  <pic:spPr>
                    <a:xfrm>
                      <a:off x="0" y="0"/>
                      <a:ext cx="1076325" cy="409575"/>
                    </a:xfrm>
                    <a:prstGeom prst="rect">
                      <a:avLst/>
                    </a:prstGeom>
                    <a:noFill/>
                    <a:ln>
                      <a:noFill/>
                    </a:ln>
                  </pic:spPr>
                </pic:pic>
              </a:graphicData>
            </a:graphic>
          </wp:inline>
        </w:drawing>
      </w:r>
      <w:r>
        <w:rPr>
          <w:rFonts w:hint="eastAsia" w:ascii="宋体" w:hAnsi="宋体" w:eastAsia="宋体" w:cs="宋体"/>
          <w:color w:val="000000" w:themeColor="text1"/>
          <w:sz w:val="24"/>
          <w:szCs w:val="24"/>
          <w14:textFill>
            <w14:solidFill>
              <w14:schemeClr w14:val="tx1"/>
            </w14:solidFill>
          </w14:textFill>
        </w:rPr>
        <w:instrText xml:space="preserve"> </w:instrText>
      </w:r>
      <w:r>
        <w:rPr>
          <w:rFonts w:hint="eastAsia" w:ascii="宋体" w:hAnsi="宋体" w:eastAsia="宋体" w:cs="宋体"/>
          <w:color w:val="000000" w:themeColor="text1"/>
          <w:sz w:val="24"/>
          <w:szCs w:val="24"/>
          <w14:textFill>
            <w14:solidFill>
              <w14:schemeClr w14:val="tx1"/>
            </w14:solidFill>
          </w14:textFill>
        </w:rPr>
        <w:fldChar w:fldCharType="separate"/>
      </w:r>
      <w:r>
        <w:rPr>
          <w:rFonts w:hint="eastAsia" w:ascii="宋体" w:hAnsi="宋体" w:eastAsia="宋体" w:cs="宋体"/>
          <w:color w:val="000000" w:themeColor="text1"/>
          <w:sz w:val="24"/>
          <w:szCs w:val="24"/>
          <w14:textFill>
            <w14:solidFill>
              <w14:schemeClr w14:val="tx1"/>
            </w14:solidFill>
          </w14:textFill>
        </w:rPr>
        <w:t>Q＜1</w:t>
      </w:r>
      <w:r>
        <w:rPr>
          <w:rFonts w:hint="eastAsia" w:ascii="宋体" w:hAnsi="宋体" w:eastAsia="宋体" w:cs="宋体"/>
          <w:color w:val="000000" w:themeColor="text1"/>
          <w:sz w:val="24"/>
          <w:szCs w:val="24"/>
          <w14:textFill>
            <w14:solidFill>
              <w14:schemeClr w14:val="tx1"/>
            </w14:solidFill>
          </w14:textFill>
        </w:rPr>
        <w:fldChar w:fldCharType="end"/>
      </w:r>
      <w:r>
        <w:rPr>
          <w:rFonts w:hint="eastAsia" w:ascii="宋体" w:hAnsi="宋体" w:eastAsia="宋体" w:cs="宋体"/>
          <w:color w:val="000000" w:themeColor="text1"/>
          <w:sz w:val="24"/>
          <w:szCs w:val="24"/>
          <w14:textFill>
            <w14:solidFill>
              <w14:schemeClr w14:val="tx1"/>
            </w14:solidFill>
          </w14:textFill>
        </w:rPr>
        <w:t>，用Q</w:t>
      </w:r>
      <w:r>
        <w:rPr>
          <w:rFonts w:hint="eastAsia" w:ascii="宋体" w:hAnsi="宋体" w:eastAsia="宋体" w:cs="宋体"/>
          <w:color w:val="000000" w:themeColor="text1"/>
          <w:sz w:val="24"/>
          <w:szCs w:val="24"/>
          <w:lang w:val="en-US" w:eastAsia="zh-CN"/>
          <w14:textFill>
            <w14:solidFill>
              <w14:schemeClr w14:val="tx1"/>
            </w14:solidFill>
          </w14:textFill>
        </w:rPr>
        <w:t>0</w:t>
      </w:r>
      <w:r>
        <w:rPr>
          <w:rFonts w:hint="eastAsia" w:ascii="宋体" w:hAnsi="宋体" w:eastAsia="宋体" w:cs="宋体"/>
          <w:color w:val="000000" w:themeColor="text1"/>
          <w:sz w:val="24"/>
          <w:szCs w:val="24"/>
          <w14:textFill>
            <w14:solidFill>
              <w14:schemeClr w14:val="tx1"/>
            </w14:solidFill>
          </w14:textFill>
        </w:rPr>
        <w:t>表示</w:t>
      </w:r>
      <w:r>
        <w:rPr>
          <w:rFonts w:hint="eastAsia" w:ascii="宋体" w:hAnsi="宋体" w:eastAsia="宋体" w:cs="宋体"/>
          <w:color w:val="000000" w:themeColor="text1"/>
          <w:sz w:val="24"/>
          <w:szCs w:val="24"/>
          <w:lang w:eastAsia="zh-CN"/>
          <w14:textFill>
            <w14:solidFill>
              <w14:schemeClr w14:val="tx1"/>
            </w14:solidFill>
          </w14:textFill>
        </w:rPr>
        <w:t>，所</w:t>
      </w:r>
      <w:r>
        <w:rPr>
          <w:rFonts w:hint="eastAsia" w:ascii="宋体" w:hAnsi="宋体" w:cs="宋体"/>
          <w:color w:val="000000" w:themeColor="text1"/>
          <w:sz w:val="24"/>
          <w:szCs w:val="24"/>
          <w:lang w:eastAsia="zh-CN"/>
          <w14:textFill>
            <w14:solidFill>
              <w14:schemeClr w14:val="tx1"/>
            </w14:solidFill>
          </w14:textFill>
        </w:rPr>
        <w:t>以</w:t>
      </w:r>
      <w:r>
        <w:rPr>
          <w:rFonts w:hint="eastAsia" w:ascii="宋体" w:hAnsi="宋体" w:cs="宋体"/>
          <w:color w:val="000000" w:themeColor="text1"/>
          <w:sz w:val="24"/>
          <w:szCs w:val="24"/>
          <w:lang w:val="en-US" w:eastAsia="zh-CN"/>
          <w14:textFill>
            <w14:solidFill>
              <w14:schemeClr w14:val="tx1"/>
            </w14:solidFill>
          </w14:textFill>
        </w:rPr>
        <w:t>公司</w:t>
      </w:r>
      <w:r>
        <w:rPr>
          <w:rFonts w:hint="eastAsia" w:ascii="宋体" w:hAnsi="宋体" w:eastAsia="宋体" w:cs="宋体"/>
          <w:color w:val="000000" w:themeColor="text1"/>
          <w:sz w:val="24"/>
          <w:szCs w:val="24"/>
          <w14:textFill>
            <w14:solidFill>
              <w14:schemeClr w14:val="tx1"/>
            </w14:solidFill>
          </w14:textFill>
        </w:rPr>
        <w:t>突发环境事件风险等级</w:t>
      </w:r>
      <w:r>
        <w:rPr>
          <w:rFonts w:hint="eastAsia" w:ascii="宋体" w:hAnsi="宋体" w:cs="宋体"/>
          <w:color w:val="000000" w:themeColor="text1"/>
          <w:sz w:val="24"/>
          <w:szCs w:val="24"/>
          <w:lang w:val="en-US" w:eastAsia="zh-CN"/>
          <w14:textFill>
            <w14:solidFill>
              <w14:schemeClr w14:val="tx1"/>
            </w14:solidFill>
          </w14:textFill>
        </w:rPr>
        <w:t>为“一般环境风险”，见图7-1</w:t>
      </w:r>
      <w:r>
        <w:rPr>
          <w:rFonts w:hint="eastAsia" w:ascii="宋体" w:hAnsi="宋体" w:eastAsia="宋体" w:cs="宋体"/>
          <w:color w:val="000000" w:themeColor="text1"/>
          <w:sz w:val="24"/>
          <w:szCs w:val="24"/>
          <w14:textFill>
            <w14:solidFill>
              <w14:schemeClr w14:val="tx1"/>
            </w14:solidFill>
          </w14:textFill>
        </w:rPr>
        <w:t>。</w:t>
      </w:r>
    </w:p>
    <w:p w14:paraId="4A40AA7E">
      <w:pPr>
        <w:pStyle w:val="7"/>
        <w:rPr>
          <w:rFonts w:hint="eastAsia" w:ascii="宋体" w:hAnsi="宋体" w:cs="仿宋"/>
          <w:color w:val="000000" w:themeColor="text1"/>
          <w:kern w:val="0"/>
          <w:sz w:val="28"/>
          <w:szCs w:val="28"/>
          <w14:textFill>
            <w14:solidFill>
              <w14:schemeClr w14:val="tx1"/>
            </w14:solidFill>
          </w14:textFill>
        </w:rPr>
      </w:pPr>
    </w:p>
    <w:p w14:paraId="5B2E8CC0">
      <w:pPr>
        <w:pStyle w:val="56"/>
        <w:snapToGrid w:val="0"/>
        <w:spacing w:before="0" w:after="0" w:line="360" w:lineRule="auto"/>
        <w:outlineLvl w:val="1"/>
        <w:rPr>
          <w:rFonts w:hint="eastAsia" w:ascii="宋体" w:hAnsi="宋体" w:eastAsia="宋体" w:cs="仿宋"/>
          <w:b/>
          <w:bCs/>
          <w:color w:val="000000" w:themeColor="text1"/>
          <w:sz w:val="28"/>
          <w:szCs w:val="28"/>
          <w:lang w:val="en-US" w:eastAsia="zh-CN"/>
          <w14:textFill>
            <w14:solidFill>
              <w14:schemeClr w14:val="tx1"/>
            </w14:solidFill>
          </w14:textFill>
        </w:rPr>
      </w:pPr>
      <w:bookmarkStart w:id="214" w:name="_Toc27715"/>
      <w:bookmarkStart w:id="215" w:name="_Toc19326"/>
      <w:bookmarkStart w:id="216" w:name="_Toc27189"/>
      <w:bookmarkStart w:id="217" w:name="_Toc16233"/>
      <w:bookmarkStart w:id="218" w:name="_Toc5452"/>
      <w:r>
        <w:rPr>
          <w:rFonts w:hint="eastAsia" w:ascii="宋体" w:hAnsi="宋体" w:cs="仿宋"/>
          <w:b/>
          <w:bCs/>
          <w:color w:val="000000" w:themeColor="text1"/>
          <w:sz w:val="28"/>
          <w:szCs w:val="28"/>
          <w:lang w:val="en-US" w:eastAsia="zh-CN"/>
          <w14:textFill>
            <w14:solidFill>
              <w14:schemeClr w14:val="tx1"/>
            </w14:solidFill>
          </w14:textFill>
        </w:rPr>
        <w:t>7</w:t>
      </w:r>
      <w:r>
        <w:rPr>
          <w:rFonts w:hint="eastAsia" w:ascii="宋体" w:hAnsi="宋体" w:eastAsia="宋体" w:cs="仿宋"/>
          <w:b/>
          <w:bCs/>
          <w:color w:val="000000" w:themeColor="text1"/>
          <w:sz w:val="28"/>
          <w:szCs w:val="28"/>
          <w:lang w:val="en-US" w:eastAsia="zh-CN"/>
          <w14:textFill>
            <w14:solidFill>
              <w14:schemeClr w14:val="tx1"/>
            </w14:solidFill>
          </w14:textFill>
        </w:rPr>
        <w:t>.</w:t>
      </w:r>
      <w:r>
        <w:rPr>
          <w:rFonts w:hint="eastAsia" w:ascii="宋体" w:hAnsi="宋体" w:cs="仿宋"/>
          <w:b/>
          <w:bCs/>
          <w:color w:val="000000" w:themeColor="text1"/>
          <w:sz w:val="28"/>
          <w:szCs w:val="28"/>
          <w:lang w:val="en-US" w:eastAsia="zh-CN"/>
          <w14:textFill>
            <w14:solidFill>
              <w14:schemeClr w14:val="tx1"/>
            </w14:solidFill>
          </w14:textFill>
        </w:rPr>
        <w:t>2</w:t>
      </w:r>
      <w:r>
        <w:rPr>
          <w:rFonts w:hint="eastAsia" w:ascii="宋体" w:hAnsi="宋体" w:eastAsia="宋体" w:cs="仿宋"/>
          <w:b/>
          <w:bCs/>
          <w:color w:val="000000" w:themeColor="text1"/>
          <w:sz w:val="28"/>
          <w:szCs w:val="28"/>
          <w:lang w:val="en-US" w:eastAsia="zh-CN"/>
          <w14:textFill>
            <w14:solidFill>
              <w14:schemeClr w14:val="tx1"/>
            </w14:solidFill>
          </w14:textFill>
        </w:rPr>
        <w:t>企业突发环境事件风险等级确定与调整</w:t>
      </w:r>
      <w:bookmarkEnd w:id="214"/>
      <w:bookmarkEnd w:id="215"/>
      <w:bookmarkEnd w:id="216"/>
      <w:bookmarkEnd w:id="217"/>
      <w:bookmarkEnd w:id="218"/>
    </w:p>
    <w:p w14:paraId="5F92CA92">
      <w:pPr>
        <w:pStyle w:val="10"/>
        <w:bidi w:val="0"/>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bookmarkStart w:id="219" w:name="_Toc22971"/>
      <w:bookmarkStart w:id="220" w:name="_Toc77"/>
      <w:bookmarkStart w:id="221" w:name="_Toc6025"/>
      <w:bookmarkStart w:id="222" w:name="_Toc7704"/>
      <w:bookmarkStart w:id="223" w:name="_Toc28453"/>
      <w:r>
        <w:rPr>
          <w:rFonts w:hint="eastAsia" w:ascii="宋体" w:hAnsi="宋体" w:cs="仿宋"/>
          <w:b/>
          <w:bCs/>
          <w:color w:val="000000" w:themeColor="text1"/>
          <w:kern w:val="32"/>
          <w:sz w:val="28"/>
          <w:szCs w:val="28"/>
          <w:lang w:val="en-US" w:eastAsia="zh-CN" w:bidi="en-US"/>
          <w14:textFill>
            <w14:solidFill>
              <w14:schemeClr w14:val="tx1"/>
            </w14:solidFill>
          </w14:textFill>
        </w:rPr>
        <w:t>7</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w:t>
      </w:r>
      <w:r>
        <w:rPr>
          <w:rFonts w:hint="eastAsia" w:ascii="宋体" w:hAnsi="宋体" w:cs="仿宋"/>
          <w:b/>
          <w:bCs/>
          <w:color w:val="000000" w:themeColor="text1"/>
          <w:kern w:val="32"/>
          <w:sz w:val="28"/>
          <w:szCs w:val="28"/>
          <w:lang w:val="en-US" w:eastAsia="zh-CN" w:bidi="en-US"/>
          <w14:textFill>
            <w14:solidFill>
              <w14:schemeClr w14:val="tx1"/>
            </w14:solidFill>
          </w14:textFill>
        </w:rPr>
        <w:t>2</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.1风险等级确定和调整原则</w:t>
      </w:r>
      <w:bookmarkEnd w:id="219"/>
      <w:bookmarkEnd w:id="220"/>
      <w:bookmarkEnd w:id="221"/>
      <w:bookmarkEnd w:id="222"/>
      <w:bookmarkEnd w:id="223"/>
    </w:p>
    <w:p w14:paraId="6B6ECED6">
      <w:pPr>
        <w:spacing w:line="360" w:lineRule="auto"/>
        <w:ind w:firstLine="480" w:firstLineChars="200"/>
        <w:jc w:val="left"/>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以企业突发大气环境事件风险和突发水环境事件风险等级高者确定企业突发环境事件风险等级。</w:t>
      </w:r>
    </w:p>
    <w:p w14:paraId="3D288AEF">
      <w:pPr>
        <w:spacing w:line="360" w:lineRule="auto"/>
        <w:ind w:firstLine="480" w:firstLineChars="200"/>
        <w:jc w:val="left"/>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近三年内因违法排放污染物、非法转移处置危险废物等行为受到环境保护主管部门处罚的企业，在已评定的突发环境事件风险等级基础上调高一级，最高等级为重大。</w:t>
      </w:r>
    </w:p>
    <w:p w14:paraId="23BCDC2F">
      <w:pPr>
        <w:pStyle w:val="10"/>
        <w:bidi w:val="0"/>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bookmarkStart w:id="224" w:name="_Toc19849"/>
      <w:bookmarkStart w:id="225" w:name="_Toc24574"/>
      <w:bookmarkStart w:id="226" w:name="_Toc14490"/>
      <w:bookmarkStart w:id="227" w:name="_Toc29358"/>
      <w:bookmarkStart w:id="228" w:name="_Toc19463"/>
      <w:r>
        <w:rPr>
          <w:rFonts w:hint="eastAsia" w:ascii="宋体" w:hAnsi="宋体" w:cs="仿宋"/>
          <w:b/>
          <w:bCs/>
          <w:color w:val="000000" w:themeColor="text1"/>
          <w:kern w:val="32"/>
          <w:sz w:val="28"/>
          <w:szCs w:val="28"/>
          <w:lang w:val="en-US" w:eastAsia="zh-CN" w:bidi="en-US"/>
          <w14:textFill>
            <w14:solidFill>
              <w14:schemeClr w14:val="tx1"/>
            </w14:solidFill>
          </w14:textFill>
        </w:rPr>
        <w:t>7</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w:t>
      </w:r>
      <w:r>
        <w:rPr>
          <w:rFonts w:hint="eastAsia" w:ascii="宋体" w:hAnsi="宋体" w:cs="仿宋"/>
          <w:b/>
          <w:bCs/>
          <w:color w:val="000000" w:themeColor="text1"/>
          <w:kern w:val="32"/>
          <w:sz w:val="28"/>
          <w:szCs w:val="28"/>
          <w:lang w:val="en-US" w:eastAsia="zh-CN" w:bidi="en-US"/>
          <w14:textFill>
            <w14:solidFill>
              <w14:schemeClr w14:val="tx1"/>
            </w14:solidFill>
          </w14:textFill>
        </w:rPr>
        <w:t>2</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.2公司风险等级确定</w:t>
      </w:r>
      <w:bookmarkEnd w:id="224"/>
      <w:bookmarkEnd w:id="225"/>
      <w:bookmarkEnd w:id="226"/>
      <w:bookmarkEnd w:id="227"/>
      <w:bookmarkEnd w:id="228"/>
    </w:p>
    <w:p w14:paraId="266C9B37">
      <w:pPr>
        <w:spacing w:line="520" w:lineRule="exact"/>
        <w:ind w:firstLine="480" w:firstLineChars="200"/>
        <w:jc w:val="left"/>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根据</w:t>
      </w:r>
      <w:r>
        <w:rPr>
          <w:rFonts w:hint="eastAsia" w:ascii="宋体" w:hAnsi="宋体" w:cs="宋体"/>
          <w:color w:val="000000" w:themeColor="text1"/>
          <w:sz w:val="24"/>
          <w:szCs w:val="24"/>
          <w:lang w:val="en-US" w:eastAsia="zh-CN"/>
          <w14:textFill>
            <w14:solidFill>
              <w14:schemeClr w14:val="tx1"/>
            </w14:solidFill>
          </w14:textFill>
        </w:rPr>
        <w:t>7</w:t>
      </w:r>
      <w:r>
        <w:rPr>
          <w:rFonts w:hint="eastAsia" w:ascii="宋体" w:hAnsi="宋体" w:eastAsia="宋体" w:cs="宋体"/>
          <w:color w:val="000000" w:themeColor="text1"/>
          <w:sz w:val="24"/>
          <w:szCs w:val="24"/>
          <w:lang w:val="en-US" w:eastAsia="zh-CN"/>
          <w14:textFill>
            <w14:solidFill>
              <w14:schemeClr w14:val="tx1"/>
            </w14:solidFill>
          </w14:textFill>
        </w:rPr>
        <w:t>.1节</w:t>
      </w:r>
      <w:r>
        <w:rPr>
          <w:rFonts w:hint="eastAsia" w:ascii="宋体" w:hAnsi="宋体" w:eastAsia="宋体" w:cs="宋体"/>
          <w:color w:val="000000" w:themeColor="text1"/>
          <w:sz w:val="24"/>
          <w:szCs w:val="24"/>
          <w14:textFill>
            <w14:solidFill>
              <w14:schemeClr w14:val="tx1"/>
            </w14:solidFill>
          </w14:textFill>
        </w:rPr>
        <w:t>确定突发环境事件风险等级</w:t>
      </w:r>
      <w:r>
        <w:rPr>
          <w:rFonts w:hint="eastAsia" w:ascii="宋体" w:hAnsi="宋体" w:cs="宋体"/>
          <w:color w:val="000000" w:themeColor="text1"/>
          <w:sz w:val="24"/>
          <w:szCs w:val="24"/>
          <w:lang w:val="en-US" w:eastAsia="zh-CN"/>
          <w14:textFill>
            <w14:solidFill>
              <w14:schemeClr w14:val="tx1"/>
            </w14:solidFill>
          </w14:textFill>
        </w:rPr>
        <w:t>为“一般环境风险”</w:t>
      </w:r>
      <w:r>
        <w:rPr>
          <w:rFonts w:hint="eastAsia" w:ascii="宋体" w:hAnsi="宋体" w:eastAsia="宋体" w:cs="宋体"/>
          <w:color w:val="000000" w:themeColor="text1"/>
          <w:sz w:val="24"/>
          <w:szCs w:val="24"/>
          <w14:textFill>
            <w14:solidFill>
              <w14:schemeClr w14:val="tx1"/>
            </w14:solidFill>
          </w14:textFill>
        </w:rPr>
        <w:t>。且公司三年内未发生违法排放污染物、非法转移处置危险废物等行为受到环境保护主管部门处罚的行为，所以公司环境风险等级评定为：</w:t>
      </w:r>
    </w:p>
    <w:p w14:paraId="5E0A9DA2">
      <w:pPr>
        <w:spacing w:line="520" w:lineRule="exact"/>
        <w:ind w:firstLine="480" w:firstLineChars="200"/>
        <w:jc w:val="left"/>
        <w:rPr>
          <w:rFonts w:hint="eastAsia" w:ascii="宋体" w:hAnsi="宋体" w:eastAsia="宋体"/>
          <w:b/>
          <w:bCs/>
          <w:color w:val="000000" w:themeColor="text1"/>
          <w:sz w:val="24"/>
          <w:szCs w:val="24"/>
          <w:lang w:eastAsia="zh-CN"/>
          <w14:textFill>
            <w14:solidFill>
              <w14:schemeClr w14:val="tx1"/>
            </w14:solidFill>
          </w14:textFill>
        </w:rPr>
        <w:sectPr>
          <w:pgSz w:w="11906" w:h="16838"/>
          <w:pgMar w:top="1417" w:right="1418" w:bottom="1417" w:left="1418" w:header="851" w:footer="992" w:gutter="0"/>
          <w:pgBorders>
            <w:top w:val="none" w:sz="0" w:space="0"/>
            <w:left w:val="none" w:sz="0" w:space="0"/>
            <w:bottom w:val="none" w:sz="0" w:space="0"/>
            <w:right w:val="none" w:sz="0" w:space="0"/>
          </w:pgBorders>
          <w:cols w:space="720" w:num="1"/>
          <w:docGrid w:type="lines" w:linePitch="312" w:charSpace="0"/>
        </w:sectPr>
      </w:pPr>
      <w:r>
        <w:rPr>
          <w:rFonts w:hint="eastAsia" w:ascii="宋体" w:hAnsi="宋体" w:eastAsia="宋体" w:cs="宋体"/>
          <w:color w:val="000000" w:themeColor="text1"/>
          <w:sz w:val="24"/>
          <w:szCs w:val="24"/>
          <w:lang w:val="en-US" w:eastAsia="zh-CN"/>
          <w14:textFill>
            <w14:solidFill>
              <w14:schemeClr w14:val="tx1"/>
            </w14:solidFill>
          </w14:textFill>
        </w:rPr>
        <w:t>一般</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一般</w:t>
      </w:r>
      <w:r>
        <w:rPr>
          <w:rFonts w:hint="eastAsia" w:ascii="宋体" w:hAnsi="宋体" w:eastAsia="宋体" w:cs="宋体"/>
          <w:color w:val="000000" w:themeColor="text1"/>
          <w:sz w:val="24"/>
          <w:szCs w:val="24"/>
          <w14:textFill>
            <w14:solidFill>
              <w14:schemeClr w14:val="tx1"/>
            </w14:solidFill>
          </w14:textFill>
        </w:rPr>
        <w:t>-大气（Q</w:t>
      </w:r>
      <w:r>
        <w:rPr>
          <w:rFonts w:hint="eastAsia" w:ascii="宋体" w:hAnsi="宋体" w:eastAsia="宋体" w:cs="宋体"/>
          <w:color w:val="000000" w:themeColor="text1"/>
          <w:sz w:val="24"/>
          <w:szCs w:val="24"/>
          <w:lang w:val="en-US" w:eastAsia="zh-CN"/>
          <w14:textFill>
            <w14:solidFill>
              <w14:schemeClr w14:val="tx1"/>
            </w14:solidFill>
          </w14:textFill>
        </w:rPr>
        <w:t>0</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一般</w:t>
      </w:r>
      <w:r>
        <w:rPr>
          <w:rFonts w:hint="eastAsia" w:ascii="宋体" w:hAnsi="宋体" w:eastAsia="宋体" w:cs="宋体"/>
          <w:color w:val="000000" w:themeColor="text1"/>
          <w:sz w:val="24"/>
          <w:szCs w:val="24"/>
          <w14:textFill>
            <w14:solidFill>
              <w14:schemeClr w14:val="tx1"/>
            </w14:solidFill>
          </w14:textFill>
        </w:rPr>
        <w:t>-水（Q</w:t>
      </w:r>
      <w:r>
        <w:rPr>
          <w:rFonts w:hint="eastAsia" w:ascii="宋体" w:hAnsi="宋体" w:eastAsia="宋体" w:cs="宋体"/>
          <w:color w:val="000000" w:themeColor="text1"/>
          <w:sz w:val="24"/>
          <w:szCs w:val="24"/>
          <w:lang w:val="en-US" w:eastAsia="zh-CN"/>
          <w14:textFill>
            <w14:solidFill>
              <w14:schemeClr w14:val="tx1"/>
            </w14:solidFill>
          </w14:textFill>
        </w:rPr>
        <w:t>0</w:t>
      </w:r>
      <w:r>
        <w:rPr>
          <w:rFonts w:hint="eastAsia" w:ascii="宋体" w:hAnsi="宋体" w:eastAsia="宋体" w:cs="宋体"/>
          <w:color w:val="000000" w:themeColor="text1"/>
          <w:sz w:val="24"/>
          <w:szCs w:val="24"/>
          <w14:textFill>
            <w14:solidFill>
              <w14:schemeClr w14:val="tx1"/>
            </w14:solidFill>
          </w14:textFill>
        </w:rPr>
        <w:t>）]</w:t>
      </w:r>
    </w:p>
    <w:p w14:paraId="07229C12">
      <w:pPr>
        <w:pStyle w:val="58"/>
        <w:snapToGrid w:val="0"/>
        <w:spacing w:before="156" w:beforeLines="50" w:after="156" w:afterLines="50" w:line="240" w:lineRule="auto"/>
        <w:rPr>
          <w:rFonts w:hint="default"/>
          <w:color w:val="000000" w:themeColor="text1"/>
          <w:lang w:val="en-US" w:eastAsia="zh-CN"/>
          <w14:textFill>
            <w14:solidFill>
              <w14:schemeClr w14:val="tx1"/>
            </w14:solidFill>
          </w14:textFill>
        </w:rPr>
      </w:pPr>
      <w:bookmarkStart w:id="229" w:name="_Toc5944"/>
      <w:bookmarkStart w:id="230" w:name="_Toc4913"/>
      <w:r>
        <w:rPr>
          <w:rFonts w:hint="eastAsia" w:ascii="宋体" w:hAnsi="宋体" w:eastAsia="宋体" w:cs="仿宋"/>
          <w:b/>
          <w:bCs/>
          <w:color w:val="000000" w:themeColor="text1"/>
          <w:sz w:val="28"/>
          <w:szCs w:val="28"/>
          <w:lang w:val="en-US" w:eastAsia="zh-CN"/>
          <w14:textFill>
            <w14:solidFill>
              <w14:schemeClr w14:val="tx1"/>
            </w14:solidFill>
          </w14:textFill>
        </w:rPr>
        <w:t>附件一：</w:t>
      </w:r>
      <w:r>
        <w:rPr>
          <w:rFonts w:hint="eastAsia" w:ascii="宋体" w:hAnsi="宋体" w:cs="仿宋"/>
          <w:b/>
          <w:bCs/>
          <w:color w:val="000000" w:themeColor="text1"/>
          <w:sz w:val="28"/>
          <w:szCs w:val="28"/>
          <w:lang w:val="en-US" w:eastAsia="zh-CN"/>
          <w14:textFill>
            <w14:solidFill>
              <w14:schemeClr w14:val="tx1"/>
            </w14:solidFill>
          </w14:textFill>
        </w:rPr>
        <w:t>公司</w:t>
      </w:r>
      <w:r>
        <w:rPr>
          <w:rFonts w:hint="eastAsia" w:ascii="宋体" w:hAnsi="宋体" w:eastAsia="宋体" w:cs="仿宋"/>
          <w:b/>
          <w:bCs/>
          <w:color w:val="000000" w:themeColor="text1"/>
          <w:sz w:val="28"/>
          <w:szCs w:val="28"/>
          <w:lang w:val="en-US" w:eastAsia="zh-CN"/>
          <w14:textFill>
            <w14:solidFill>
              <w14:schemeClr w14:val="tx1"/>
            </w14:solidFill>
          </w14:textFill>
        </w:rPr>
        <w:t>地理位置图</w:t>
      </w:r>
      <w:bookmarkEnd w:id="229"/>
      <w:r>
        <w:rPr>
          <w:rFonts w:hint="eastAsia" w:ascii="宋体" w:hAnsi="宋体" w:eastAsia="宋体" w:cs="仿宋"/>
          <w:b/>
          <w:bCs/>
          <w:color w:val="000000" w:themeColor="text1"/>
          <w:sz w:val="28"/>
          <w:szCs w:val="28"/>
          <w:lang w:val="en-US" w:eastAsia="zh-CN"/>
          <w14:textFill>
            <w14:solidFill>
              <w14:schemeClr w14:val="tx1"/>
            </w14:solidFill>
          </w14:textFill>
        </w:rPr>
        <w:t xml:space="preserve"> </w:t>
      </w:r>
      <w:r>
        <w:rPr>
          <w:color w:val="000000" w:themeColor="text1"/>
          <w:sz w:val="28"/>
          <w14:textFill>
            <w14:solidFill>
              <w14:schemeClr w14:val="tx1"/>
            </w14:solidFill>
          </w14:textFill>
        </w:rPr>
        <mc:AlternateContent>
          <mc:Choice Requires="wps">
            <w:drawing>
              <wp:anchor distT="0" distB="0" distL="114300" distR="114300" simplePos="0" relativeHeight="251662336" behindDoc="0" locked="0" layoutInCell="1" allowOverlap="1">
                <wp:simplePos x="0" y="0"/>
                <wp:positionH relativeFrom="column">
                  <wp:posOffset>962660</wp:posOffset>
                </wp:positionH>
                <wp:positionV relativeFrom="paragraph">
                  <wp:posOffset>2199005</wp:posOffset>
                </wp:positionV>
                <wp:extent cx="1442720" cy="536575"/>
                <wp:effectExtent l="5080" t="206375" r="15240" b="19050"/>
                <wp:wrapNone/>
                <wp:docPr id="7" name="圆角矩形标注 7"/>
                <wp:cNvGraphicFramePr/>
                <a:graphic xmlns:a="http://schemas.openxmlformats.org/drawingml/2006/main">
                  <a:graphicData uri="http://schemas.microsoft.com/office/word/2010/wordprocessingShape">
                    <wps:wsp>
                      <wps:cNvSpPr/>
                      <wps:spPr>
                        <a:xfrm flipV="1">
                          <a:off x="0" y="0"/>
                          <a:ext cx="1442720" cy="536575"/>
                        </a:xfrm>
                        <a:prstGeom prst="wedgeRoundRectCallout">
                          <a:avLst>
                            <a:gd name="adj1" fmla="val 22095"/>
                            <a:gd name="adj2" fmla="val 87159"/>
                            <a:gd name="adj3" fmla="val 16667"/>
                          </a:avLst>
                        </a:prstGeom>
                        <a:solidFill>
                          <a:srgbClr val="FFFFFF"/>
                        </a:solidFill>
                        <a:ln w="9525" cap="flat" cmpd="sng">
                          <a:solidFill>
                            <a:srgbClr val="C00000"/>
                          </a:solidFill>
                          <a:prstDash val="solid"/>
                          <a:miter/>
                          <a:headEnd type="none" w="med" len="med"/>
                          <a:tailEnd type="none" w="med" len="med"/>
                        </a:ln>
                      </wps:spPr>
                      <wps:txbx>
                        <w:txbxContent>
                          <w:p w14:paraId="735057CB">
                            <w:pPr>
                              <w:jc w:val="center"/>
                              <w:rPr>
                                <w:rFonts w:hint="eastAsia" w:eastAsia="宋体"/>
                                <w:b/>
                                <w:bCs/>
                                <w:color w:val="C00000"/>
                                <w:sz w:val="24"/>
                                <w:szCs w:val="24"/>
                                <w:lang w:eastAsia="zh-CN"/>
                              </w:rPr>
                            </w:pPr>
                            <w:r>
                              <w:rPr>
                                <w:rFonts w:hint="eastAsia"/>
                                <w:b/>
                                <w:bCs/>
                                <w:color w:val="C00000"/>
                                <w:sz w:val="24"/>
                                <w:szCs w:val="24"/>
                                <w:lang w:eastAsia="zh-CN"/>
                              </w:rPr>
                              <w:t>安宁泰丰林化工有限公司</w:t>
                            </w:r>
                          </w:p>
                        </w:txbxContent>
                      </wps:txbx>
                      <wps:bodyPr upright="1"/>
                    </wps:wsp>
                  </a:graphicData>
                </a:graphic>
              </wp:anchor>
            </w:drawing>
          </mc:Choice>
          <mc:Fallback>
            <w:pict>
              <v:shape id="_x0000_s1026" o:spid="_x0000_s1026" o:spt="62" type="#_x0000_t62" style="position:absolute;left:0pt;flip:y;margin-left:75.8pt;margin-top:173.15pt;height:42.25pt;width:113.6pt;z-index:251662336;mso-width-relative:page;mso-height-relative:page;" fillcolor="#FFFFFF" filled="t" stroked="t" coordsize="21600,21600" o:gfxdata="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AC&#10;/XQ/2QAAAAsBAAAPAAAAAAAAAAEAIAAAACIAAABkcnMvZG93bnJldi54bWxQSwECFAAUAAAACACH&#10;TuJAvGYQyVwCAADFBAAADgAAAAAAAAABACAAAAAoAQAAZHJzL2Uyb0RvYy54bWxQSwUGAAAAAAYA&#10;BgBZAQAA9gUAAAAA&#10;" adj="15573,29626,14400">
                <v:fill on="t" focussize="0,0"/>
                <v:stroke color="#C00000" joinstyle="miter"/>
                <v:imagedata o:title=""/>
                <o:lock v:ext="edit" aspectratio="f"/>
                <v:textbox>
                  <w:txbxContent>
                    <w:p w14:paraId="735057CB">
                      <w:pPr>
                        <w:jc w:val="center"/>
                        <w:rPr>
                          <w:rFonts w:hint="eastAsia" w:eastAsia="宋体"/>
                          <w:b/>
                          <w:bCs/>
                          <w:color w:val="C00000"/>
                          <w:sz w:val="24"/>
                          <w:szCs w:val="24"/>
                          <w:lang w:eastAsia="zh-CN"/>
                        </w:rPr>
                      </w:pPr>
                      <w:r>
                        <w:rPr>
                          <w:rFonts w:hint="eastAsia"/>
                          <w:b/>
                          <w:bCs/>
                          <w:color w:val="C00000"/>
                          <w:sz w:val="24"/>
                          <w:szCs w:val="24"/>
                          <w:lang w:eastAsia="zh-CN"/>
                        </w:rPr>
                        <w:t>安宁泰丰林化工有限公司</w:t>
                      </w:r>
                    </w:p>
                  </w:txbxContent>
                </v:textbox>
              </v:shape>
            </w:pict>
          </mc:Fallback>
        </mc:AlternateContent>
      </w:r>
      <w:bookmarkEnd w:id="230"/>
    </w:p>
    <w:p w14:paraId="313440FC">
      <w:pPr>
        <w:pStyle w:val="32"/>
        <w:ind w:left="0" w:leftChars="0" w:firstLine="0" w:firstLineChars="0"/>
        <w:rPr>
          <w:rFonts w:hint="default"/>
          <w:color w:val="000000" w:themeColor="text1"/>
          <w:lang w:val="en-US" w:eastAsia="zh-CN"/>
          <w14:textFill>
            <w14:solidFill>
              <w14:schemeClr w14:val="tx1"/>
            </w14:solidFill>
          </w14:textFill>
        </w:rPr>
      </w:pPr>
      <w:r>
        <w:rPr>
          <w:rFonts w:hint="default"/>
          <w:color w:val="000000" w:themeColor="text1"/>
          <w:lang w:val="en-US" w:eastAsia="zh-CN"/>
          <w14:textFill>
            <w14:solidFill>
              <w14:schemeClr w14:val="tx1"/>
            </w14:solidFill>
          </w14:textFill>
        </w:rPr>
        <w:drawing>
          <wp:anchor distT="0" distB="0" distL="114300" distR="114300" simplePos="0" relativeHeight="251663360" behindDoc="0" locked="0" layoutInCell="1" allowOverlap="1">
            <wp:simplePos x="0" y="0"/>
            <wp:positionH relativeFrom="column">
              <wp:posOffset>-290195</wp:posOffset>
            </wp:positionH>
            <wp:positionV relativeFrom="paragraph">
              <wp:posOffset>130175</wp:posOffset>
            </wp:positionV>
            <wp:extent cx="6118225" cy="7343775"/>
            <wp:effectExtent l="0" t="0" r="8255" b="1905"/>
            <wp:wrapTopAndBottom/>
            <wp:docPr id="4" name="图片 4" descr="附图1  地理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附图1  地理位置图"/>
                    <pic:cNvPicPr>
                      <a:picLocks noChangeAspect="1"/>
                    </pic:cNvPicPr>
                  </pic:nvPicPr>
                  <pic:blipFill>
                    <a:blip r:embed="rId22"/>
                    <a:srcRect r="1292" b="4279"/>
                    <a:stretch>
                      <a:fillRect/>
                    </a:stretch>
                  </pic:blipFill>
                  <pic:spPr>
                    <a:xfrm>
                      <a:off x="0" y="0"/>
                      <a:ext cx="6118225" cy="7343775"/>
                    </a:xfrm>
                    <a:prstGeom prst="rect">
                      <a:avLst/>
                    </a:prstGeom>
                  </pic:spPr>
                </pic:pic>
              </a:graphicData>
            </a:graphic>
          </wp:anchor>
        </w:drawing>
      </w:r>
      <w:r>
        <w:rPr>
          <w:color w:val="000000" w:themeColor="text1"/>
          <w:sz w:val="21"/>
          <w14:textFill>
            <w14:solidFill>
              <w14:schemeClr w14:val="tx1"/>
            </w14:solidFill>
          </w14:textFill>
        </w:rPr>
        <mc:AlternateContent>
          <mc:Choice Requires="wps">
            <w:drawing>
              <wp:anchor distT="0" distB="0" distL="114300" distR="114300" simplePos="0" relativeHeight="251664384" behindDoc="0" locked="0" layoutInCell="1" allowOverlap="1">
                <wp:simplePos x="0" y="0"/>
                <wp:positionH relativeFrom="column">
                  <wp:posOffset>1104900</wp:posOffset>
                </wp:positionH>
                <wp:positionV relativeFrom="paragraph">
                  <wp:posOffset>2354580</wp:posOffset>
                </wp:positionV>
                <wp:extent cx="1464945" cy="456565"/>
                <wp:effectExtent l="4445" t="4445" r="8890" b="11430"/>
                <wp:wrapNone/>
                <wp:docPr id="14" name="文本框 14"/>
                <wp:cNvGraphicFramePr/>
                <a:graphic xmlns:a="http://schemas.openxmlformats.org/drawingml/2006/main">
                  <a:graphicData uri="http://schemas.microsoft.com/office/word/2010/wordprocessingShape">
                    <wps:wsp>
                      <wps:cNvSpPr txBox="1"/>
                      <wps:spPr>
                        <a:xfrm>
                          <a:off x="2073910" y="3802380"/>
                          <a:ext cx="1464945" cy="45656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4BE277C5">
                            <w:pPr>
                              <w:jc w:val="center"/>
                              <w:rPr>
                                <w:rFonts w:hint="default" w:eastAsia="宋体"/>
                                <w:b/>
                                <w:bCs/>
                                <w:color w:val="FF0000"/>
                                <w:lang w:val="en-US" w:eastAsia="zh-CN"/>
                              </w:rPr>
                            </w:pPr>
                            <w:r>
                              <w:rPr>
                                <w:rFonts w:hint="eastAsia"/>
                                <w:b/>
                                <w:bCs/>
                                <w:color w:val="FF0000"/>
                                <w:lang w:val="en-US" w:eastAsia="zh-CN"/>
                              </w:rPr>
                              <w:t>安宁泰丰林化工有限公司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7pt;margin-top:185.4pt;height:35.95pt;width:115.35pt;z-index:251664384;mso-width-relative:page;mso-height-relative:page;" fillcolor="#FFFFFF [3201]" filled="t" stroked="t" coordsize="21600,21600" o:gfxdata="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BzRCRT1wAAAAsBAAAPAAAAAAAAAAEAIAAAACIAAABkcnMvZG93bnJldi54bWxQSwECFAAU&#10;AAAACACHTuJAn2lP7mQCAADFBAAADgAAAAAAAAABACAAAAAmAQAAZHJzL2Uyb0RvYy54bWxQSwUG&#10;AAAAAAYABgBZAQAA/AUAAAAA&#10;">
                <v:fill on="t" focussize="0,0"/>
                <v:stroke weight="0.5pt" color="#000000 [3204]" joinstyle="round"/>
                <v:imagedata o:title=""/>
                <o:lock v:ext="edit" aspectratio="f"/>
                <v:textbox>
                  <w:txbxContent>
                    <w:p w14:paraId="4BE277C5">
                      <w:pPr>
                        <w:jc w:val="center"/>
                        <w:rPr>
                          <w:rFonts w:hint="default" w:eastAsia="宋体"/>
                          <w:b/>
                          <w:bCs/>
                          <w:color w:val="FF0000"/>
                          <w:lang w:val="en-US" w:eastAsia="zh-CN"/>
                        </w:rPr>
                      </w:pPr>
                      <w:r>
                        <w:rPr>
                          <w:rFonts w:hint="eastAsia"/>
                          <w:b/>
                          <w:bCs/>
                          <w:color w:val="FF0000"/>
                          <w:lang w:val="en-US" w:eastAsia="zh-CN"/>
                        </w:rPr>
                        <w:t>安宁泰丰林化工有限公司</w:t>
                      </w:r>
                    </w:p>
                  </w:txbxContent>
                </v:textbox>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665408" behindDoc="0" locked="0" layoutInCell="1" allowOverlap="1">
                <wp:simplePos x="0" y="0"/>
                <wp:positionH relativeFrom="column">
                  <wp:posOffset>1927225</wp:posOffset>
                </wp:positionH>
                <wp:positionV relativeFrom="paragraph">
                  <wp:posOffset>2125980</wp:posOffset>
                </wp:positionV>
                <wp:extent cx="210820" cy="193675"/>
                <wp:effectExtent l="6350" t="6350" r="11430" b="13335"/>
                <wp:wrapNone/>
                <wp:docPr id="22" name="同心圆 22"/>
                <wp:cNvGraphicFramePr/>
                <a:graphic xmlns:a="http://schemas.openxmlformats.org/drawingml/2006/main">
                  <a:graphicData uri="http://schemas.microsoft.com/office/word/2010/wordprocessingShape">
                    <wps:wsp>
                      <wps:cNvSpPr/>
                      <wps:spPr>
                        <a:xfrm>
                          <a:off x="2853055" y="3453130"/>
                          <a:ext cx="210820" cy="193675"/>
                        </a:xfrm>
                        <a:prstGeom prst="donut">
                          <a:avLst/>
                        </a:prstGeom>
                        <a:solidFill>
                          <a:srgbClr val="FF0000"/>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23" type="#_x0000_t23" style="position:absolute;left:0pt;margin-left:151.75pt;margin-top:167.4pt;height:15.25pt;width:16.6pt;z-index:251665408;v-text-anchor:middle;mso-width-relative:page;mso-height-relative:page;" fillcolor="#FF0000" filled="t" stroked="t" coordsize="21600,21600" o:gfxdata="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" adj="4960">
                <v:fill on="t" focussize="0,0"/>
                <v:stroke weight="1pt" color="#000000 [3213]" miterlimit="8" joinstyle="miter"/>
                <v:imagedata o:title=""/>
                <o:lock v:ext="edit" aspectratio="f"/>
              </v:shape>
            </w:pict>
          </mc:Fallback>
        </mc:AlternateContent>
      </w:r>
    </w:p>
    <w:p w14:paraId="020981F3">
      <w:pPr>
        <w:pStyle w:val="32"/>
        <w:ind w:left="0" w:leftChars="0" w:firstLine="0" w:firstLineChars="0"/>
        <w:rPr>
          <w:rFonts w:hint="default"/>
          <w:color w:val="000000" w:themeColor="text1"/>
          <w:lang w:val="en-US" w:eastAsia="zh-CN"/>
          <w14:textFill>
            <w14:solidFill>
              <w14:schemeClr w14:val="tx1"/>
            </w14:solidFill>
          </w14:textFill>
        </w:rPr>
      </w:pPr>
    </w:p>
    <w:p w14:paraId="622E899C">
      <w:pPr>
        <w:pStyle w:val="32"/>
        <w:ind w:left="0" w:leftChars="0" w:firstLine="0" w:firstLineChars="0"/>
        <w:rPr>
          <w:rFonts w:hint="default"/>
          <w:color w:val="000000" w:themeColor="text1"/>
          <w:lang w:val="en-US" w:eastAsia="zh-CN"/>
          <w14:textFill>
            <w14:solidFill>
              <w14:schemeClr w14:val="tx1"/>
            </w14:solidFill>
          </w14:textFill>
        </w:rPr>
      </w:pPr>
    </w:p>
    <w:p w14:paraId="159A5757">
      <w:pPr>
        <w:pStyle w:val="32"/>
        <w:ind w:left="0" w:leftChars="0" w:firstLine="0" w:firstLineChars="0"/>
        <w:rPr>
          <w:rFonts w:hint="default"/>
          <w:color w:val="000000" w:themeColor="text1"/>
          <w:lang w:val="en-US" w:eastAsia="zh-CN"/>
          <w14:textFill>
            <w14:solidFill>
              <w14:schemeClr w14:val="tx1"/>
            </w14:solidFill>
          </w14:textFill>
        </w:rPr>
        <w:sectPr>
          <w:pgSz w:w="11906" w:h="16838"/>
          <w:pgMar w:top="1417" w:right="1418" w:bottom="1417" w:left="1418" w:header="851" w:footer="992" w:gutter="0"/>
          <w:pgBorders>
            <w:top w:val="none" w:sz="0" w:space="0"/>
            <w:left w:val="none" w:sz="0" w:space="0"/>
            <w:bottom w:val="none" w:sz="0" w:space="0"/>
            <w:right w:val="none" w:sz="0" w:space="0"/>
          </w:pgBorders>
          <w:cols w:space="720" w:num="1"/>
          <w:docGrid w:type="lines" w:linePitch="312" w:charSpace="0"/>
        </w:sectPr>
      </w:pPr>
    </w:p>
    <w:p w14:paraId="41EB7986">
      <w:pPr>
        <w:pStyle w:val="8"/>
        <w:bidi w:val="0"/>
        <w:jc w:val="left"/>
        <w:rPr>
          <w:rFonts w:hint="default" w:ascii="宋体" w:hAnsi="宋体" w:cs="仿宋"/>
          <w:color w:val="000000" w:themeColor="text1"/>
          <w:kern w:val="0"/>
          <w:sz w:val="28"/>
          <w:szCs w:val="28"/>
          <w:lang w:val="en-US"/>
          <w14:textFill>
            <w14:solidFill>
              <w14:schemeClr w14:val="tx1"/>
            </w14:solidFill>
          </w14:textFill>
        </w:rPr>
      </w:pPr>
      <w:bookmarkStart w:id="231" w:name="_Toc20917"/>
      <w:r>
        <w:rPr>
          <w:rFonts w:hint="eastAsia" w:hAnsi="宋体" w:cs="仿宋"/>
          <w:color w:val="000000" w:themeColor="text1"/>
          <w:kern w:val="0"/>
          <w:sz w:val="21"/>
          <w:szCs w:val="21"/>
          <w:lang w:val="en-US" w:eastAsia="zh-CN"/>
          <w14:textFill>
            <w14:solidFill>
              <w14:schemeClr w14:val="tx1"/>
            </w14:solidFill>
          </w14:textFill>
        </w:rPr>
        <w:drawing>
          <wp:anchor distT="0" distB="0" distL="114300" distR="114300" simplePos="0" relativeHeight="251667456" behindDoc="0" locked="0" layoutInCell="1" allowOverlap="1">
            <wp:simplePos x="0" y="0"/>
            <wp:positionH relativeFrom="column">
              <wp:posOffset>7939405</wp:posOffset>
            </wp:positionH>
            <wp:positionV relativeFrom="paragraph">
              <wp:posOffset>532130</wp:posOffset>
            </wp:positionV>
            <wp:extent cx="1044575" cy="1339850"/>
            <wp:effectExtent l="0" t="0" r="6985" b="1270"/>
            <wp:wrapNone/>
            <wp:docPr id="45" name="图片 45" descr="1698976305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1698976305731"/>
                    <pic:cNvPicPr>
                      <a:picLocks noChangeAspect="1"/>
                    </pic:cNvPicPr>
                  </pic:nvPicPr>
                  <pic:blipFill>
                    <a:blip r:embed="rId23"/>
                    <a:stretch>
                      <a:fillRect/>
                    </a:stretch>
                  </pic:blipFill>
                  <pic:spPr>
                    <a:xfrm>
                      <a:off x="0" y="0"/>
                      <a:ext cx="1044575" cy="1339850"/>
                    </a:xfrm>
                    <a:prstGeom prst="rect">
                      <a:avLst/>
                    </a:prstGeom>
                  </pic:spPr>
                </pic:pic>
              </a:graphicData>
            </a:graphic>
          </wp:anchor>
        </w:drawing>
      </w:r>
      <w:r>
        <w:rPr>
          <w:color w:val="000000" w:themeColor="text1"/>
          <w:sz w:val="28"/>
          <w14:textFill>
            <w14:solidFill>
              <w14:schemeClr w14:val="tx1"/>
            </w14:solidFill>
          </w14:textFill>
        </w:rPr>
        <w:drawing>
          <wp:anchor distT="0" distB="0" distL="114300" distR="114300" simplePos="0" relativeHeight="251668480" behindDoc="1" locked="0" layoutInCell="1" allowOverlap="1">
            <wp:simplePos x="0" y="0"/>
            <wp:positionH relativeFrom="column">
              <wp:posOffset>-177165</wp:posOffset>
            </wp:positionH>
            <wp:positionV relativeFrom="paragraph">
              <wp:posOffset>531495</wp:posOffset>
            </wp:positionV>
            <wp:extent cx="9133840" cy="4539615"/>
            <wp:effectExtent l="0" t="0" r="10160" b="1905"/>
            <wp:wrapNone/>
            <wp:docPr id="34" name="图片 34" descr="0c5c6e7738f9094f80d19f8ee7cab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0c5c6e7738f9094f80d19f8ee7cab16"/>
                    <pic:cNvPicPr>
                      <a:picLocks noChangeAspect="1"/>
                    </pic:cNvPicPr>
                  </pic:nvPicPr>
                  <pic:blipFill>
                    <a:blip r:embed="rId24"/>
                    <a:stretch>
                      <a:fillRect/>
                    </a:stretch>
                  </pic:blipFill>
                  <pic:spPr>
                    <a:xfrm>
                      <a:off x="0" y="0"/>
                      <a:ext cx="9133840" cy="4539615"/>
                    </a:xfrm>
                    <a:prstGeom prst="rect">
                      <a:avLst/>
                    </a:prstGeom>
                  </pic:spPr>
                </pic:pic>
              </a:graphicData>
            </a:graphic>
          </wp:anchor>
        </w:drawing>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附件</w:t>
      </w:r>
      <w:r>
        <w:rPr>
          <w:rFonts w:hint="eastAsia" w:ascii="宋体" w:hAnsi="宋体" w:cs="仿宋"/>
          <w:b/>
          <w:bCs/>
          <w:color w:val="000000" w:themeColor="text1"/>
          <w:kern w:val="32"/>
          <w:sz w:val="28"/>
          <w:szCs w:val="28"/>
          <w:lang w:val="en-US" w:eastAsia="zh-CN" w:bidi="en-US"/>
          <w14:textFill>
            <w14:solidFill>
              <w14:schemeClr w14:val="tx1"/>
            </w14:solidFill>
          </w14:textFill>
        </w:rPr>
        <w:t>二</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：公司</w:t>
      </w:r>
      <w:r>
        <w:rPr>
          <w:rFonts w:hint="eastAsia" w:ascii="宋体" w:hAnsi="宋体" w:cs="仿宋"/>
          <w:b/>
          <w:bCs/>
          <w:color w:val="000000" w:themeColor="text1"/>
          <w:kern w:val="32"/>
          <w:sz w:val="28"/>
          <w:szCs w:val="28"/>
          <w:lang w:val="en-US" w:eastAsia="zh-CN" w:bidi="en-US"/>
          <w14:textFill>
            <w14:solidFill>
              <w14:schemeClr w14:val="tx1"/>
            </w14:solidFill>
          </w14:textFill>
        </w:rPr>
        <w:t>所在区域水系图</w:t>
      </w:r>
      <w:bookmarkEnd w:id="231"/>
    </w:p>
    <w:p w14:paraId="4E56DD9F">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3B3B1737">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69FF36C6">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6A30BD9D">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715B0F4F">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4F6CFEAC">
      <w:pPr>
        <w:pStyle w:val="7"/>
        <w:rPr>
          <w:rFonts w:hint="eastAsia" w:ascii="宋体" w:hAnsi="宋体" w:eastAsia="宋体" w:cs="仿宋"/>
          <w:color w:val="000000" w:themeColor="text1"/>
          <w:kern w:val="0"/>
          <w:sz w:val="28"/>
          <w:szCs w:val="28"/>
          <w:lang w:eastAsia="zh-CN"/>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666432" behindDoc="0" locked="0" layoutInCell="1" allowOverlap="1">
                <wp:simplePos x="0" y="0"/>
                <wp:positionH relativeFrom="column">
                  <wp:posOffset>39370</wp:posOffset>
                </wp:positionH>
                <wp:positionV relativeFrom="paragraph">
                  <wp:posOffset>269875</wp:posOffset>
                </wp:positionV>
                <wp:extent cx="1895475" cy="541020"/>
                <wp:effectExtent l="6350" t="6350" r="18415" b="16510"/>
                <wp:wrapNone/>
                <wp:docPr id="43" name="文本框 43"/>
                <wp:cNvGraphicFramePr/>
                <a:graphic xmlns:a="http://schemas.openxmlformats.org/drawingml/2006/main">
                  <a:graphicData uri="http://schemas.microsoft.com/office/word/2010/wordprocessingShape">
                    <wps:wsp>
                      <wps:cNvSpPr txBox="1"/>
                      <wps:spPr>
                        <a:xfrm>
                          <a:off x="0" y="0"/>
                          <a:ext cx="1895475" cy="541020"/>
                        </a:xfrm>
                        <a:prstGeom prst="rect">
                          <a:avLst/>
                        </a:prstGeom>
                        <a:solidFill>
                          <a:schemeClr val="lt1"/>
                        </a:solidFill>
                        <a:ln w="1270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0819260B">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8"/>
                                <w:szCs w:val="28"/>
                                <w:lang w:val="en-US" w:eastAsia="zh-CN"/>
                              </w:rPr>
                            </w:pPr>
                            <w:r>
                              <w:rPr>
                                <w:rFonts w:hint="eastAsia"/>
                                <w:b/>
                                <w:bCs/>
                                <w:color w:val="FF0000"/>
                                <w:sz w:val="24"/>
                                <w:szCs w:val="24"/>
                                <w:lang w:val="en-US" w:eastAsia="zh-CN"/>
                              </w:rPr>
                              <w:t>安宁泰丰林化工有限公司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pt;margin-top:21.25pt;height:42.6pt;width:149.25pt;z-index:251666432;mso-width-relative:page;mso-height-relative:page;" fillcolor="#FFFFFF [3201]" filled="t" stroked="t" coordsize="21600,21600" o:gfxdata="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">
                <v:fill on="t" focussize="0,0"/>
                <v:stroke weight="1pt" color="#000000 [3204]" joinstyle="round"/>
                <v:imagedata o:title=""/>
                <o:lock v:ext="edit" aspectratio="f"/>
                <v:textbox>
                  <w:txbxContent>
                    <w:p w14:paraId="0819260B">
                      <w:pPr>
                        <w:keepNext w:val="0"/>
                        <w:keepLines w:val="0"/>
                        <w:pageBreakBefore w:val="0"/>
                        <w:widowControl w:val="0"/>
                        <w:kinsoku/>
                        <w:wordWrap/>
                        <w:overflowPunct/>
                        <w:topLinePunct w:val="0"/>
                        <w:bidi w:val="0"/>
                        <w:adjustRightInd/>
                        <w:snapToGrid/>
                        <w:spacing w:line="360" w:lineRule="auto"/>
                        <w:jc w:val="center"/>
                        <w:textAlignment w:val="auto"/>
                        <w:rPr>
                          <w:rFonts w:hint="default" w:eastAsia="宋体"/>
                          <w:b/>
                          <w:bCs/>
                          <w:color w:val="FF0000"/>
                          <w:sz w:val="28"/>
                          <w:szCs w:val="28"/>
                          <w:lang w:val="en-US" w:eastAsia="zh-CN"/>
                        </w:rPr>
                      </w:pPr>
                      <w:r>
                        <w:rPr>
                          <w:rFonts w:hint="eastAsia"/>
                          <w:b/>
                          <w:bCs/>
                          <w:color w:val="FF0000"/>
                          <w:sz w:val="24"/>
                          <w:szCs w:val="24"/>
                          <w:lang w:val="en-US" w:eastAsia="zh-CN"/>
                        </w:rPr>
                        <w:t>安宁泰丰林化工有限公司</w:t>
                      </w:r>
                    </w:p>
                  </w:txbxContent>
                </v:textbox>
              </v:shape>
            </w:pict>
          </mc:Fallback>
        </mc:AlternateContent>
      </w:r>
    </w:p>
    <w:p w14:paraId="2336DAB3">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21B3E00B">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1DCDABC4">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6AA0850E">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0ACBA820">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45E5782C">
      <w:pPr>
        <w:pStyle w:val="7"/>
        <w:rPr>
          <w:rFonts w:hint="eastAsia" w:ascii="宋体" w:hAnsi="宋体" w:eastAsia="宋体" w:cs="仿宋"/>
          <w:color w:val="000000" w:themeColor="text1"/>
          <w:kern w:val="0"/>
          <w:sz w:val="28"/>
          <w:szCs w:val="28"/>
          <w:lang w:eastAsia="zh-CN"/>
          <w14:textFill>
            <w14:solidFill>
              <w14:schemeClr w14:val="tx1"/>
            </w14:solidFill>
          </w14:textFill>
        </w:rPr>
      </w:pPr>
    </w:p>
    <w:p w14:paraId="2B032D97">
      <w:pPr>
        <w:pStyle w:val="8"/>
        <w:bidi w:val="0"/>
        <w:jc w:val="left"/>
        <w:rPr>
          <w:rFonts w:hint="eastAsia" w:ascii="宋体" w:hAnsi="宋体" w:cs="仿宋"/>
          <w:color w:val="000000" w:themeColor="text1"/>
          <w:kern w:val="0"/>
          <w:sz w:val="28"/>
          <w:szCs w:val="28"/>
          <w14:textFill>
            <w14:solidFill>
              <w14:schemeClr w14:val="tx1"/>
            </w14:solidFill>
          </w14:textFill>
        </w:rPr>
      </w:pPr>
      <w:bookmarkStart w:id="232" w:name="_Toc10668"/>
      <w:bookmarkStart w:id="233" w:name="_Toc24839"/>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附件三：公司平面布置图</w:t>
      </w:r>
      <w:bookmarkEnd w:id="232"/>
      <w:bookmarkEnd w:id="233"/>
    </w:p>
    <w:p w14:paraId="1BD7C7DB">
      <w:pPr>
        <w:jc w:val="center"/>
        <w:rPr>
          <w:rFonts w:hint="eastAsia" w:ascii="宋体" w:hAnsi="宋体" w:eastAsia="宋体" w:cs="仿宋"/>
          <w:color w:val="000000" w:themeColor="text1"/>
          <w:kern w:val="0"/>
          <w:sz w:val="21"/>
          <w:szCs w:val="21"/>
          <w:lang w:val="en-US" w:eastAsia="zh-CN" w:bidi="ar-SA"/>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95104" behindDoc="0" locked="0" layoutInCell="1" allowOverlap="1">
                <wp:simplePos x="0" y="0"/>
                <wp:positionH relativeFrom="column">
                  <wp:posOffset>4436110</wp:posOffset>
                </wp:positionH>
                <wp:positionV relativeFrom="paragraph">
                  <wp:posOffset>2900680</wp:posOffset>
                </wp:positionV>
                <wp:extent cx="496570" cy="474980"/>
                <wp:effectExtent l="0" t="0" r="0" b="0"/>
                <wp:wrapNone/>
                <wp:docPr id="93" name="艺术字 14"/>
                <wp:cNvGraphicFramePr/>
                <a:graphic xmlns:a="http://schemas.openxmlformats.org/drawingml/2006/main">
                  <a:graphicData uri="http://schemas.microsoft.com/office/word/2010/wordprocessingShape">
                    <wps:wsp>
                      <wps:cNvSpPr/>
                      <wps:spPr>
                        <a:xfrm>
                          <a:off x="0" y="0"/>
                          <a:ext cx="496570" cy="474980"/>
                        </a:xfrm>
                        <a:prstGeom prst="rect">
                          <a:avLst/>
                        </a:prstGeom>
                        <a:noFill/>
                        <a:ln w="3175" cap="flat" cmpd="sng">
                          <a:noFill/>
                          <a:prstDash val="solid"/>
                          <a:headEnd type="none" w="med" len="med"/>
                          <a:tailEnd type="none" w="med" len="med"/>
                        </a:ln>
                        <a:effectLst/>
                      </wps:spPr>
                      <wps:txbx>
                        <w:txbxContent>
                          <w:p w14:paraId="608C4A0F">
                            <w:pPr>
                              <w:jc w:val="center"/>
                              <w:rPr>
                                <w:rFonts w:hint="default" w:eastAsiaTheme="minorEastAsia"/>
                                <w:b/>
                                <w:bCs/>
                                <w:sz w:val="21"/>
                                <w:szCs w:val="21"/>
                                <w:lang w:val="en-US" w:eastAsia="zh-CN"/>
                              </w:rPr>
                            </w:pPr>
                            <w:r>
                              <w:rPr>
                                <w:rFonts w:hint="eastAsia"/>
                                <w:b/>
                                <w:bCs/>
                                <w:sz w:val="21"/>
                                <w:szCs w:val="21"/>
                                <w:lang w:val="en-US" w:eastAsia="zh-CN"/>
                              </w:rPr>
                              <w:t>消防水池</w:t>
                            </w:r>
                          </w:p>
                        </w:txbxContent>
                      </wps:txbx>
                      <wps:bodyPr/>
                    </wps:wsp>
                  </a:graphicData>
                </a:graphic>
              </wp:anchor>
            </w:drawing>
          </mc:Choice>
          <mc:Fallback>
            <w:pict>
              <v:rect id="艺术字 14" o:spid="_x0000_s1026" o:spt="1" style="position:absolute;left:0pt;margin-left:349.3pt;margin-top:228.4pt;height:37.4pt;width:39.1pt;z-index:251695104;mso-width-relative:page;mso-height-relative:page;" filled="f" stroked="f" coordsize="21600,21600" o:gfxdata="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wPi5&#10;CtgAAAALAQAADwAAAAAAAAABACAAAAAiAAAAZHJzL2Rvd25yZXYueG1sUEsBAhQAFAAAAAgAh07i&#10;QD0tRVvpAQAA0wMAAA4AAAAAAAAAAQAgAAAAJwEAAGRycy9lMm9Eb2MueG1sUEsFBgAAAAAGAAYA&#10;WQEAAIIFAAAAAA==&#10;">
                <v:fill on="f" focussize="0,0"/>
                <v:stroke on="f" weight="0.25pt"/>
                <v:imagedata o:title=""/>
                <o:lock v:ext="edit" aspectratio="f"/>
                <v:textbox>
                  <w:txbxContent>
                    <w:p w14:paraId="608C4A0F">
                      <w:pPr>
                        <w:jc w:val="center"/>
                        <w:rPr>
                          <w:rFonts w:hint="default" w:eastAsiaTheme="minorEastAsia"/>
                          <w:b/>
                          <w:bCs/>
                          <w:sz w:val="21"/>
                          <w:szCs w:val="21"/>
                          <w:lang w:val="en-US" w:eastAsia="zh-CN"/>
                        </w:rPr>
                      </w:pPr>
                      <w:r>
                        <w:rPr>
                          <w:rFonts w:hint="eastAsia"/>
                          <w:b/>
                          <w:bCs/>
                          <w:sz w:val="21"/>
                          <w:szCs w:val="21"/>
                          <w:lang w:val="en-US" w:eastAsia="zh-CN"/>
                        </w:rPr>
                        <w:t>消防水池</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4080" behindDoc="0" locked="0" layoutInCell="1" allowOverlap="1">
                <wp:simplePos x="0" y="0"/>
                <wp:positionH relativeFrom="column">
                  <wp:posOffset>4490720</wp:posOffset>
                </wp:positionH>
                <wp:positionV relativeFrom="paragraph">
                  <wp:posOffset>2780030</wp:posOffset>
                </wp:positionV>
                <wp:extent cx="414020" cy="744855"/>
                <wp:effectExtent l="102235" t="50800" r="108585" b="57785"/>
                <wp:wrapNone/>
                <wp:docPr id="21" name="矩形 21"/>
                <wp:cNvGraphicFramePr/>
                <a:graphic xmlns:a="http://schemas.openxmlformats.org/drawingml/2006/main">
                  <a:graphicData uri="http://schemas.microsoft.com/office/word/2010/wordprocessingShape">
                    <wps:wsp>
                      <wps:cNvSpPr/>
                      <wps:spPr>
                        <a:xfrm rot="20640000">
                          <a:off x="0" y="0"/>
                          <a:ext cx="414020" cy="744855"/>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53.6pt;margin-top:218.9pt;height:58.65pt;width:32.6pt;rotation:-1048576f;z-index:251694080;v-text-anchor:middle;mso-width-relative:page;mso-height-relative:page;" fillcolor="#FFFFFF [3212]" filled="t" stroked="t" coordsize="21600,21600" o:gfxdata="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Em3T3NsAAAALAQAADwAAAAAAAAABACAAAAAi&#10;AAAAZHJzL2Rvd25yZXYueG1sUEsBAhQAFAAAAAgAh07iQJFzgbB5AgAABAUAAA4AAAAAAAAAAQAg&#10;AAAAKgEAAGRycy9lMm9Eb2MueG1sUEsFBgAAAAAGAAYAWQEAABUGAAAAAA==&#10;">
                <v:fill on="t" focussize="0,0"/>
                <v:stroke weight="1pt" color="#000000 [3213]" miterlimit="8" joinstyle="miter"/>
                <v:imagedata o:title=""/>
                <o:lock v:ext="edit" aspectratio="f"/>
              </v:rect>
            </w:pict>
          </mc:Fallback>
        </mc:AlternateContent>
      </w:r>
      <w:r>
        <w:rPr>
          <w:rFonts w:hint="eastAsia" w:ascii="宋体" w:hAnsi="宋体" w:eastAsia="宋体" w:cs="仿宋"/>
          <w:color w:val="000000" w:themeColor="text1"/>
          <w:kern w:val="0"/>
          <w:sz w:val="21"/>
          <w:szCs w:val="21"/>
          <w:lang w:val="en-US" w:eastAsia="zh-CN" w:bidi="ar-SA"/>
          <w14:textFill>
            <w14:solidFill>
              <w14:schemeClr w14:val="tx1"/>
            </w14:solidFill>
          </w14:textFill>
        </w:rPr>
        <w:drawing>
          <wp:inline distT="0" distB="0" distL="114300" distR="114300">
            <wp:extent cx="8863330" cy="4869815"/>
            <wp:effectExtent l="0" t="0" r="6350" b="6985"/>
            <wp:docPr id="8" name="图片 8" descr="172863597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728635978370"/>
                    <pic:cNvPicPr>
                      <a:picLocks noChangeAspect="1"/>
                    </pic:cNvPicPr>
                  </pic:nvPicPr>
                  <pic:blipFill>
                    <a:blip r:embed="rId25"/>
                    <a:srcRect t="449"/>
                    <a:stretch>
                      <a:fillRect/>
                    </a:stretch>
                  </pic:blipFill>
                  <pic:spPr>
                    <a:xfrm>
                      <a:off x="0" y="0"/>
                      <a:ext cx="8863330" cy="4869815"/>
                    </a:xfrm>
                    <a:prstGeom prst="rect">
                      <a:avLst/>
                    </a:prstGeom>
                  </pic:spPr>
                </pic:pic>
              </a:graphicData>
            </a:graphic>
          </wp:inline>
        </w:drawing>
      </w:r>
    </w:p>
    <w:p w14:paraId="54496BA2">
      <w:pPr>
        <w:pStyle w:val="8"/>
        <w:bidi w:val="0"/>
        <w:jc w:val="left"/>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bookmarkStart w:id="234" w:name="_Toc6371"/>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附件四：公司周边环境受体分布图</w:t>
      </w:r>
      <w:bookmarkEnd w:id="234"/>
    </w:p>
    <w:p w14:paraId="2F116158">
      <w:pPr>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r>
        <w:rPr>
          <w:rFonts w:hint="eastAsia" w:ascii="宋体" w:hAnsi="宋体" w:eastAsia="宋体" w:cs="仿宋"/>
          <w:color w:val="000000" w:themeColor="text1"/>
          <w:kern w:val="0"/>
          <w:sz w:val="28"/>
          <w:szCs w:val="28"/>
          <w:lang w:eastAsia="zh-CN"/>
          <w14:textFill>
            <w14:solidFill>
              <w14:schemeClr w14:val="tx1"/>
            </w14:solidFill>
          </w14:textFill>
        </w:rPr>
        <w:drawing>
          <wp:anchor distT="0" distB="0" distL="114300" distR="114300" simplePos="0" relativeHeight="251669504" behindDoc="1" locked="0" layoutInCell="1" allowOverlap="1">
            <wp:simplePos x="0" y="0"/>
            <wp:positionH relativeFrom="column">
              <wp:posOffset>-82550</wp:posOffset>
            </wp:positionH>
            <wp:positionV relativeFrom="paragraph">
              <wp:posOffset>-12700</wp:posOffset>
            </wp:positionV>
            <wp:extent cx="8876665" cy="4945380"/>
            <wp:effectExtent l="0" t="0" r="8255" b="7620"/>
            <wp:wrapNone/>
            <wp:docPr id="62" name="图片 62" descr="1700012597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1700012597482"/>
                    <pic:cNvPicPr>
                      <a:picLocks noChangeAspect="1"/>
                    </pic:cNvPicPr>
                  </pic:nvPicPr>
                  <pic:blipFill>
                    <a:blip r:embed="rId26"/>
                    <a:stretch>
                      <a:fillRect/>
                    </a:stretch>
                  </pic:blipFill>
                  <pic:spPr>
                    <a:xfrm>
                      <a:off x="0" y="0"/>
                      <a:ext cx="8876665" cy="4945380"/>
                    </a:xfrm>
                    <a:prstGeom prst="rect">
                      <a:avLst/>
                    </a:prstGeom>
                  </pic:spPr>
                </pic:pic>
              </a:graphicData>
            </a:graphic>
          </wp:anchor>
        </w:drawing>
      </w:r>
    </w:p>
    <w:p w14:paraId="0EE118B9">
      <w:pPr>
        <w:pStyle w:val="2"/>
        <w:outlineLvl w:val="9"/>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20BF8791">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2661C057">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1B7B297F">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0B8EEAED">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379CC191">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4300" distR="114300" simplePos="0" relativeHeight="251702272" behindDoc="0" locked="0" layoutInCell="1" allowOverlap="1">
                <wp:simplePos x="0" y="0"/>
                <wp:positionH relativeFrom="column">
                  <wp:posOffset>4128770</wp:posOffset>
                </wp:positionH>
                <wp:positionV relativeFrom="paragraph">
                  <wp:posOffset>229870</wp:posOffset>
                </wp:positionV>
                <wp:extent cx="431800" cy="363855"/>
                <wp:effectExtent l="3810" t="5080" r="6350" b="12065"/>
                <wp:wrapNone/>
                <wp:docPr id="9" name="直接箭头连接符 9"/>
                <wp:cNvGraphicFramePr/>
                <a:graphic xmlns:a="http://schemas.openxmlformats.org/drawingml/2006/main">
                  <a:graphicData uri="http://schemas.microsoft.com/office/word/2010/wordprocessingShape">
                    <wps:wsp>
                      <wps:cNvCnPr/>
                      <wps:spPr>
                        <a:xfrm>
                          <a:off x="0" y="0"/>
                          <a:ext cx="431800" cy="363855"/>
                        </a:xfrm>
                        <a:prstGeom prst="straightConnector1">
                          <a:avLst/>
                        </a:prstGeom>
                        <a:ln>
                          <a:solidFill>
                            <a:schemeClr val="bg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margin-left:325.1pt;margin-top:18.1pt;height:28.65pt;width:34pt;z-index:251702272;mso-width-relative:page;mso-height-relative:page;" filled="f" stroked="t" coordsize="21600,21600" o:gfxdata="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UTTM39YAAAAJAQAADwAAAAAAAAABACAAAAAiAAAA&#10;ZHJzL2Rvd25yZXYueG1sUEsBAhQAFAAAAAgAh07iQI9FDv8JAgAA4wMAAA4AAAAAAAAAAQAgAAAA&#10;JQEAAGRycy9lMm9Eb2MueG1sUEsFBgAAAAAGAAYAWQEAAKAFAAAAAA==&#10;">
                <v:fill on="f" focussize="0,0"/>
                <v:stroke weight="1pt" color="#FFFFFF [3212]" miterlimit="8" joinstyle="miter" endarrow="open"/>
                <v:imagedata o:title=""/>
                <o:lock v:ext="edit" aspectratio="f"/>
              </v:shape>
            </w:pict>
          </mc:Fallback>
        </mc:AlternateContent>
      </w:r>
      <w:r>
        <w:rPr>
          <w:color w:val="000000" w:themeColor="text1"/>
          <w:sz w:val="28"/>
          <w14:textFill>
            <w14:solidFill>
              <w14:schemeClr w14:val="tx1"/>
            </w14:solidFill>
          </w14:textFill>
        </w:rPr>
        <mc:AlternateContent>
          <mc:Choice Requires="wps">
            <w:drawing>
              <wp:anchor distT="0" distB="0" distL="114300" distR="114300" simplePos="0" relativeHeight="251700224" behindDoc="0" locked="0" layoutInCell="1" allowOverlap="1">
                <wp:simplePos x="0" y="0"/>
                <wp:positionH relativeFrom="column">
                  <wp:posOffset>3722370</wp:posOffset>
                </wp:positionH>
                <wp:positionV relativeFrom="paragraph">
                  <wp:posOffset>212725</wp:posOffset>
                </wp:positionV>
                <wp:extent cx="338455" cy="643255"/>
                <wp:effectExtent l="4445" t="3175" r="7620" b="8890"/>
                <wp:wrapNone/>
                <wp:docPr id="2" name="直接箭头连接符 2"/>
                <wp:cNvGraphicFramePr/>
                <a:graphic xmlns:a="http://schemas.openxmlformats.org/drawingml/2006/main">
                  <a:graphicData uri="http://schemas.microsoft.com/office/word/2010/wordprocessingShape">
                    <wps:wsp>
                      <wps:cNvCnPr/>
                      <wps:spPr>
                        <a:xfrm flipH="1">
                          <a:off x="4622165" y="3924300"/>
                          <a:ext cx="338455" cy="643255"/>
                        </a:xfrm>
                        <a:prstGeom prst="straightConnector1">
                          <a:avLst/>
                        </a:prstGeom>
                        <a:ln>
                          <a:solidFill>
                            <a:schemeClr val="bg1"/>
                          </a:solidFill>
                          <a:tailEnd type="arrow"/>
                        </a:ln>
                      </wps:spPr>
                      <wps:style>
                        <a:lnRef idx="2">
                          <a:schemeClr val="accent1"/>
                        </a:lnRef>
                        <a:fillRef idx="0">
                          <a:srgbClr val="FFFFFF"/>
                        </a:fillRef>
                        <a:effectRef idx="0">
                          <a:srgbClr val="FFFFFF"/>
                        </a:effectRef>
                        <a:fontRef idx="minor">
                          <a:schemeClr val="tx1"/>
                        </a:fontRef>
                      </wps:style>
                      <wps:bodyPr/>
                    </wps:wsp>
                  </a:graphicData>
                </a:graphic>
              </wp:anchor>
            </w:drawing>
          </mc:Choice>
          <mc:Fallback>
            <w:pict>
              <v:shape id="_x0000_s1026" o:spid="_x0000_s1026" o:spt="32" type="#_x0000_t32" style="position:absolute;left:0pt;flip:x;margin-left:293.1pt;margin-top:16.75pt;height:50.65pt;width:26.65pt;z-index:251700224;mso-width-relative:page;mso-height-relative:page;" filled="f" stroked="t" coordsize="21600,21600" o:gfxdata="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wz+ly9cAAAAK&#10;AQAADwAAAAAAAAABACAAAAAiAAAAZHJzL2Rvd25yZXYueG1sUEsBAhQAFAAAAAgAh07iQKw2LrAd&#10;AgAA+QMAAA4AAAAAAAAAAQAgAAAAJgEAAGRycy9lMm9Eb2MueG1sUEsFBgAAAAAGAAYAWQEAALUF&#10;AAAAAA==&#10;">
                <v:fill on="f" focussize="0,0"/>
                <v:stroke weight="1pt" color="#FFFFFF [3212]" miterlimit="8" joinstyle="miter" endarrow="open"/>
                <v:imagedata o:title=""/>
                <o:lock v:ext="edit" aspectratio="f"/>
              </v:shape>
            </w:pict>
          </mc:Fallback>
        </mc:AlternateContent>
      </w:r>
    </w:p>
    <w:p w14:paraId="79A8A43E">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4300" distR="114300" simplePos="0" relativeHeight="251703296" behindDoc="0" locked="0" layoutInCell="1" allowOverlap="1">
                <wp:simplePos x="0" y="0"/>
                <wp:positionH relativeFrom="column">
                  <wp:posOffset>4162425</wp:posOffset>
                </wp:positionH>
                <wp:positionV relativeFrom="paragraph">
                  <wp:posOffset>256540</wp:posOffset>
                </wp:positionV>
                <wp:extent cx="1582420" cy="259715"/>
                <wp:effectExtent l="5080" t="4445" r="12700" b="10160"/>
                <wp:wrapNone/>
                <wp:docPr id="10" name="文本框 10"/>
                <wp:cNvGraphicFramePr/>
                <a:graphic xmlns:a="http://schemas.openxmlformats.org/drawingml/2006/main">
                  <a:graphicData uri="http://schemas.microsoft.com/office/word/2010/wordprocessingShape">
                    <wps:wsp>
                      <wps:cNvSpPr txBox="1"/>
                      <wps:spPr>
                        <a:xfrm>
                          <a:off x="0" y="0"/>
                          <a:ext cx="1582420" cy="25971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482E3F1">
                            <w:pPr>
                              <w:jc w:val="center"/>
                              <w:rPr>
                                <w:rFonts w:hint="default" w:eastAsia="宋体"/>
                                <w:b/>
                                <w:bCs/>
                                <w:color w:val="FF0000"/>
                                <w:sz w:val="18"/>
                                <w:szCs w:val="18"/>
                                <w:lang w:val="en-US" w:eastAsia="zh-CN"/>
                              </w:rPr>
                            </w:pPr>
                            <w:r>
                              <w:rPr>
                                <w:rFonts w:hint="eastAsia"/>
                                <w:b/>
                                <w:bCs/>
                                <w:color w:val="FF0000"/>
                                <w:sz w:val="18"/>
                                <w:szCs w:val="18"/>
                                <w:lang w:val="en-US" w:eastAsia="zh-CN"/>
                              </w:rPr>
                              <w:t>云南勤德包装有限公司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27.75pt;margin-top:20.2pt;height:20.45pt;width:124.6pt;z-index:251703296;mso-width-relative:page;mso-height-relative:page;" fillcolor="#FFFFFF [3201]" filled="t" stroked="t" coordsize="21600,21600" o:gfxdata="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AdSGrzXAAAA&#10;CQEAAA8AAAAAAAAAAQAgAAAAIgAAAGRycy9kb3ducmV2LnhtbFBLAQIUABQAAAAIAIdO4kBeT8Xm&#10;VwIAALkEAAAOAAAAAAAAAAEAIAAAACYBAABkcnMvZTJvRG9jLnhtbFBLBQYAAAAABgAGAFkBAADv&#10;BQAAAAA=&#10;">
                <v:fill on="t" focussize="0,0"/>
                <v:stroke weight="0.5pt" color="#000000 [3204]" joinstyle="round"/>
                <v:imagedata o:title=""/>
                <o:lock v:ext="edit" aspectratio="f"/>
                <v:textbox>
                  <w:txbxContent>
                    <w:p w14:paraId="5482E3F1">
                      <w:pPr>
                        <w:jc w:val="center"/>
                        <w:rPr>
                          <w:rFonts w:hint="default" w:eastAsia="宋体"/>
                          <w:b/>
                          <w:bCs/>
                          <w:color w:val="FF0000"/>
                          <w:sz w:val="18"/>
                          <w:szCs w:val="18"/>
                          <w:lang w:val="en-US" w:eastAsia="zh-CN"/>
                        </w:rPr>
                      </w:pPr>
                      <w:r>
                        <w:rPr>
                          <w:rFonts w:hint="eastAsia"/>
                          <w:b/>
                          <w:bCs/>
                          <w:color w:val="FF0000"/>
                          <w:sz w:val="18"/>
                          <w:szCs w:val="18"/>
                          <w:lang w:val="en-US" w:eastAsia="zh-CN"/>
                        </w:rPr>
                        <w:t>云南勤德包装有限公司</w:t>
                      </w:r>
                    </w:p>
                  </w:txbxContent>
                </v:textbox>
              </v:shape>
            </w:pict>
          </mc:Fallback>
        </mc:AlternateContent>
      </w:r>
    </w:p>
    <w:p w14:paraId="583E5B1A">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r>
        <w:rPr>
          <w:color w:val="000000" w:themeColor="text1"/>
          <w:sz w:val="28"/>
          <w14:textFill>
            <w14:solidFill>
              <w14:schemeClr w14:val="tx1"/>
            </w14:solidFill>
          </w14:textFill>
        </w:rPr>
        <mc:AlternateContent>
          <mc:Choice Requires="wps">
            <w:drawing>
              <wp:anchor distT="0" distB="0" distL="114300" distR="114300" simplePos="0" relativeHeight="251701248" behindDoc="0" locked="0" layoutInCell="1" allowOverlap="1">
                <wp:simplePos x="0" y="0"/>
                <wp:positionH relativeFrom="column">
                  <wp:posOffset>2604770</wp:posOffset>
                </wp:positionH>
                <wp:positionV relativeFrom="paragraph">
                  <wp:posOffset>88900</wp:posOffset>
                </wp:positionV>
                <wp:extent cx="1311910" cy="480060"/>
                <wp:effectExtent l="4445" t="4445" r="9525" b="18415"/>
                <wp:wrapNone/>
                <wp:docPr id="6" name="文本框 6"/>
                <wp:cNvGraphicFramePr/>
                <a:graphic xmlns:a="http://schemas.openxmlformats.org/drawingml/2006/main">
                  <a:graphicData uri="http://schemas.microsoft.com/office/word/2010/wordprocessingShape">
                    <wps:wsp>
                      <wps:cNvSpPr txBox="1"/>
                      <wps:spPr>
                        <a:xfrm>
                          <a:off x="4147820" y="4592955"/>
                          <a:ext cx="1311910" cy="48006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14:paraId="5162085D">
                            <w:pPr>
                              <w:jc w:val="center"/>
                              <w:rPr>
                                <w:rFonts w:hint="default" w:eastAsia="宋体"/>
                                <w:b/>
                                <w:bCs/>
                                <w:color w:val="FF0000"/>
                                <w:sz w:val="18"/>
                                <w:szCs w:val="18"/>
                                <w:lang w:val="en-US" w:eastAsia="zh-CN"/>
                              </w:rPr>
                            </w:pPr>
                            <w:r>
                              <w:rPr>
                                <w:rFonts w:hint="eastAsia"/>
                                <w:b/>
                                <w:bCs/>
                                <w:color w:val="FF0000"/>
                                <w:sz w:val="18"/>
                                <w:szCs w:val="18"/>
                                <w:lang w:val="en-US" w:eastAsia="zh-CN"/>
                              </w:rPr>
                              <w:t>昆明风行防水材料有限公司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5.1pt;margin-top:7pt;height:37.8pt;width:103.3pt;z-index:251701248;mso-width-relative:page;mso-height-relative:page;" fillcolor="#FFFFFF [3201]" filled="t" stroked="t" coordsize="21600,21600" o:gfxdata="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">
                <v:fill on="t" focussize="0,0"/>
                <v:stroke weight="0.5pt" color="#000000 [3204]" joinstyle="round"/>
                <v:imagedata o:title=""/>
                <o:lock v:ext="edit" aspectratio="f"/>
                <v:textbox>
                  <w:txbxContent>
                    <w:p w14:paraId="5162085D">
                      <w:pPr>
                        <w:jc w:val="center"/>
                        <w:rPr>
                          <w:rFonts w:hint="default" w:eastAsia="宋体"/>
                          <w:b/>
                          <w:bCs/>
                          <w:color w:val="FF0000"/>
                          <w:sz w:val="18"/>
                          <w:szCs w:val="18"/>
                          <w:lang w:val="en-US" w:eastAsia="zh-CN"/>
                        </w:rPr>
                      </w:pPr>
                      <w:r>
                        <w:rPr>
                          <w:rFonts w:hint="eastAsia"/>
                          <w:b/>
                          <w:bCs/>
                          <w:color w:val="FF0000"/>
                          <w:sz w:val="18"/>
                          <w:szCs w:val="18"/>
                          <w:lang w:val="en-US" w:eastAsia="zh-CN"/>
                        </w:rPr>
                        <w:t>昆明风行防水材料有限公司</w:t>
                      </w:r>
                    </w:p>
                  </w:txbxContent>
                </v:textbox>
              </v:shape>
            </w:pict>
          </mc:Fallback>
        </mc:AlternateContent>
      </w:r>
    </w:p>
    <w:p w14:paraId="51444A35">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5021DC11">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3FD6E42B">
      <w:pPr>
        <w:pStyle w:val="7"/>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p>
    <w:p w14:paraId="1DC523FC">
      <w:pPr>
        <w:jc w:val="center"/>
        <w:rPr>
          <w:rFonts w:hint="eastAsia" w:ascii="宋体" w:hAnsi="宋体" w:eastAsia="宋体" w:cs="仿宋"/>
          <w:color w:val="000000" w:themeColor="text1"/>
          <w:kern w:val="0"/>
          <w:sz w:val="21"/>
          <w:szCs w:val="21"/>
          <w:lang w:val="en-US" w:eastAsia="zh-CN" w:bidi="ar-SA"/>
          <w14:textFill>
            <w14:solidFill>
              <w14:schemeClr w14:val="tx1"/>
            </w14:solidFill>
          </w14:textFill>
        </w:rPr>
      </w:pPr>
    </w:p>
    <w:p w14:paraId="0D5B8545">
      <w:pPr>
        <w:pStyle w:val="8"/>
        <w:bidi w:val="0"/>
        <w:jc w:val="left"/>
        <w:rPr>
          <w:color w:val="000000" w:themeColor="text1"/>
          <w14:textFill>
            <w14:solidFill>
              <w14:schemeClr w14:val="tx1"/>
            </w14:solidFill>
          </w14:textFill>
        </w:rPr>
      </w:pPr>
      <w:bookmarkStart w:id="235" w:name="_Toc11398"/>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附件</w:t>
      </w:r>
      <w:r>
        <w:rPr>
          <w:rFonts w:hint="eastAsia" w:ascii="宋体" w:hAnsi="宋体" w:cs="仿宋"/>
          <w:b/>
          <w:bCs/>
          <w:color w:val="000000" w:themeColor="text1"/>
          <w:kern w:val="32"/>
          <w:sz w:val="28"/>
          <w:szCs w:val="28"/>
          <w:lang w:val="en-US" w:eastAsia="zh-CN" w:bidi="en-US"/>
          <w14:textFill>
            <w14:solidFill>
              <w14:schemeClr w14:val="tx1"/>
            </w14:solidFill>
          </w14:textFill>
        </w:rPr>
        <w:t>五</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：公司用水收集排放图</w:t>
      </w:r>
      <w:bookmarkEnd w:id="235"/>
    </w:p>
    <w:p w14:paraId="17C51292">
      <w:pPr>
        <w:pStyle w:val="13"/>
        <w:rPr>
          <w:color w:val="000000" w:themeColor="text1"/>
          <w14:textFill>
            <w14:solidFill>
              <w14:schemeClr w14:val="tx1"/>
            </w14:solidFill>
          </w14:textFill>
        </w:rPr>
      </w:pPr>
      <w:r>
        <w:rPr>
          <w:color w:val="000000" w:themeColor="text1"/>
          <w14:textFill>
            <w14:solidFill>
              <w14:schemeClr w14:val="tx1"/>
            </w14:solidFill>
          </w14:textFill>
        </w:rPr>
        <mc:AlternateContent>
          <mc:Choice Requires="wps">
            <w:drawing>
              <wp:anchor distT="0" distB="0" distL="114300" distR="114300" simplePos="0" relativeHeight="251699200" behindDoc="0" locked="0" layoutInCell="1" allowOverlap="1">
                <wp:simplePos x="0" y="0"/>
                <wp:positionH relativeFrom="column">
                  <wp:posOffset>3917315</wp:posOffset>
                </wp:positionH>
                <wp:positionV relativeFrom="paragraph">
                  <wp:posOffset>654050</wp:posOffset>
                </wp:positionV>
                <wp:extent cx="81915" cy="224790"/>
                <wp:effectExtent l="8255" t="8255" r="31750" b="10795"/>
                <wp:wrapNone/>
                <wp:docPr id="29" name="下箭头 29"/>
                <wp:cNvGraphicFramePr/>
                <a:graphic xmlns:a="http://schemas.openxmlformats.org/drawingml/2006/main">
                  <a:graphicData uri="http://schemas.microsoft.com/office/word/2010/wordprocessingShape">
                    <wps:wsp>
                      <wps:cNvSpPr/>
                      <wps:spPr>
                        <a:xfrm rot="11160000">
                          <a:off x="0" y="0"/>
                          <a:ext cx="81915" cy="224790"/>
                        </a:xfrm>
                        <a:prstGeom prst="down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308.45pt;margin-top:51.5pt;height:17.7pt;width:6.45pt;rotation:-11403264f;z-index:251699200;v-text-anchor:middle;mso-width-relative:page;mso-height-relative:page;" fillcolor="#00B050" filled="t" stroked="t" coordsize="21600,21600" o:gfxdata="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g4yI09oAAAALAQAADwAAAAAAAAABACAA&#10;AAAiAAAAZHJzL2Rvd25yZXYueG1sUEsBAhQAFAAAAAgAh07iQBWUVTV9AgAACwUAAA4AAAAAAAAA&#10;AQAgAAAAKQEAAGRycy9lMm9Eb2MueG1sUEsFBgAAAAAGAAYAWQEAABgGAAAAAA==&#10;" adj="17665,5400">
                <v:fill on="t" focussize="0,0"/>
                <v:stroke weight="1pt" color="#00B05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8176" behindDoc="0" locked="0" layoutInCell="1" allowOverlap="1">
                <wp:simplePos x="0" y="0"/>
                <wp:positionH relativeFrom="column">
                  <wp:posOffset>4027170</wp:posOffset>
                </wp:positionH>
                <wp:positionV relativeFrom="paragraph">
                  <wp:posOffset>721995</wp:posOffset>
                </wp:positionV>
                <wp:extent cx="81915" cy="224790"/>
                <wp:effectExtent l="20955" t="8255" r="19050" b="10795"/>
                <wp:wrapNone/>
                <wp:docPr id="28" name="下箭头 28"/>
                <wp:cNvGraphicFramePr/>
                <a:graphic xmlns:a="http://schemas.openxmlformats.org/drawingml/2006/main">
                  <a:graphicData uri="http://schemas.microsoft.com/office/word/2010/wordprocessingShape">
                    <wps:wsp>
                      <wps:cNvSpPr/>
                      <wps:spPr>
                        <a:xfrm rot="300000">
                          <a:off x="0" y="0"/>
                          <a:ext cx="81915" cy="224790"/>
                        </a:xfrm>
                        <a:prstGeom prst="down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317.1pt;margin-top:56.85pt;height:17.7pt;width:6.45pt;rotation:327680f;z-index:251698176;v-text-anchor:middle;mso-width-relative:page;mso-height-relative:page;" fillcolor="#00B050" filled="t" stroked="t" coordsize="21600,21600" o:gfxdata="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BpiOw82AAAAAsBAAAPAAAAAAAAAAEAIAAAACIA&#10;AABkcnMvZG93bnJldi54bWxQSwECFAAUAAAACACHTuJApzdfE3sCAAAJBQAADgAAAAAAAAABACAA&#10;AAAnAQAAZHJzL2Uyb0RvYy54bWxQSwUGAAAAAAYABgBZAQAAFAYAAAAA&#10;" adj="17665,5400">
                <v:fill on="t" focussize="0,0"/>
                <v:stroke weight="1pt" color="#00B050 [3204]" miterlimit="8" joinstyle="miter"/>
                <v:imagedata o:title=""/>
                <o:lock v:ext="edit" aspectratio="f"/>
              </v:shape>
            </w:pict>
          </mc:Fallback>
        </mc:AlternateContent>
      </w:r>
      <w:r>
        <w:rPr>
          <w:rFonts w:hint="eastAsia" w:ascii="宋体" w:hAnsi="宋体" w:eastAsia="宋体" w:cs="仿宋"/>
          <w:color w:val="000000" w:themeColor="text1"/>
          <w:kern w:val="0"/>
          <w:sz w:val="21"/>
          <w:szCs w:val="21"/>
          <w:lang w:val="en-US" w:eastAsia="zh-CN" w:bidi="ar-SA"/>
          <w14:textFill>
            <w14:solidFill>
              <w14:schemeClr w14:val="tx1"/>
            </w14:solidFill>
          </w14:textFill>
        </w:rPr>
        <w:drawing>
          <wp:inline distT="0" distB="0" distL="114300" distR="114300">
            <wp:extent cx="8618855" cy="4869815"/>
            <wp:effectExtent l="0" t="0" r="6985" b="6985"/>
            <wp:docPr id="11" name="图片 11" descr="172863597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728635978370"/>
                    <pic:cNvPicPr>
                      <a:picLocks noChangeAspect="1"/>
                    </pic:cNvPicPr>
                  </pic:nvPicPr>
                  <pic:blipFill>
                    <a:blip r:embed="rId25"/>
                    <a:srcRect t="449"/>
                    <a:stretch>
                      <a:fillRect/>
                    </a:stretch>
                  </pic:blipFill>
                  <pic:spPr>
                    <a:xfrm>
                      <a:off x="0" y="0"/>
                      <a:ext cx="8618855" cy="4869815"/>
                    </a:xfrm>
                    <a:prstGeom prst="rect">
                      <a:avLst/>
                    </a:prstGeom>
                  </pic:spPr>
                </pic:pic>
              </a:graphicData>
            </a:graphic>
          </wp:inline>
        </w:drawing>
      </w:r>
      <w:r>
        <w:rPr>
          <w:color w:val="000000" w:themeColor="text1"/>
          <w14:textFill>
            <w14:solidFill>
              <w14:schemeClr w14:val="tx1"/>
            </w14:solidFill>
          </w14:textFill>
        </w:rPr>
        <mc:AlternateContent>
          <mc:Choice Requires="wps">
            <w:drawing>
              <wp:anchor distT="0" distB="0" distL="114300" distR="114300" simplePos="0" relativeHeight="251677696" behindDoc="0" locked="0" layoutInCell="1" allowOverlap="1">
                <wp:simplePos x="0" y="0"/>
                <wp:positionH relativeFrom="column">
                  <wp:posOffset>4528185</wp:posOffset>
                </wp:positionH>
                <wp:positionV relativeFrom="paragraph">
                  <wp:posOffset>2243455</wp:posOffset>
                </wp:positionV>
                <wp:extent cx="97790" cy="330835"/>
                <wp:effectExtent l="6350" t="15875" r="13335" b="23495"/>
                <wp:wrapNone/>
                <wp:docPr id="52" name="下箭头 52"/>
                <wp:cNvGraphicFramePr/>
                <a:graphic xmlns:a="http://schemas.openxmlformats.org/drawingml/2006/main">
                  <a:graphicData uri="http://schemas.microsoft.com/office/word/2010/wordprocessingShape">
                    <wps:wsp>
                      <wps:cNvSpPr/>
                      <wps:spPr>
                        <a:xfrm rot="1620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356.55pt;margin-top:176.65pt;height:26.05pt;width:7.7pt;rotation:-5898240f;z-index:251677696;v-text-anchor:middle;mso-width-relative:page;mso-height-relative:page;" fillcolor="#00B0F0" filled="t" stroked="t" coordsize="21600,21600" o:gfxdata="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IpRV3twAAAALAQAADwAAAAAAAAAB&#10;ACAAAAAiAAAAZHJzL2Rvd25yZXYueG1sUEsBAhQAFAAAAAgAh07iQHxagkJ+AgAACwUAAA4AAAAA&#10;AAAAAQAgAAAAKwEAAGRycy9lMm9Eb2MueG1sUEsFBgAAAAAGAAYAWQEAABsGAAAAAA==&#10;" adj="18408,5400">
                <v:fill on="t" focussize="0,0"/>
                <v:stroke weight="1pt" color="#00B0F0 [3204]" miterlimit="8" joinstyle="miter"/>
                <v:imagedata o:title=""/>
                <o:lock v:ext="edit" aspectratio="f"/>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91008" behindDoc="0" locked="0" layoutInCell="1" allowOverlap="1">
                <wp:simplePos x="0" y="0"/>
                <wp:positionH relativeFrom="column">
                  <wp:posOffset>4912360</wp:posOffset>
                </wp:positionH>
                <wp:positionV relativeFrom="paragraph">
                  <wp:posOffset>2163445</wp:posOffset>
                </wp:positionV>
                <wp:extent cx="553085" cy="76200"/>
                <wp:effectExtent l="0" t="97155" r="8890" b="116205"/>
                <wp:wrapNone/>
                <wp:docPr id="56" name="右箭头 56"/>
                <wp:cNvGraphicFramePr/>
                <a:graphic xmlns:a="http://schemas.openxmlformats.org/drawingml/2006/main">
                  <a:graphicData uri="http://schemas.microsoft.com/office/word/2010/wordprocessingShape">
                    <wps:wsp>
                      <wps:cNvSpPr/>
                      <wps:spPr>
                        <a:xfrm rot="20040000">
                          <a:off x="0" y="0"/>
                          <a:ext cx="553085" cy="76200"/>
                        </a:xfrm>
                        <a:prstGeom prst="rightArrow">
                          <a:avLst>
                            <a:gd name="adj1" fmla="val 50000"/>
                            <a:gd name="adj2" fmla="val 335714"/>
                          </a:avLst>
                        </a:prstGeom>
                        <a:solidFill>
                          <a:srgbClr val="00B0F0"/>
                        </a:solidFill>
                        <a:ln w="9525" cap="flat" cmpd="sng">
                          <a:solidFill>
                            <a:srgbClr val="00B0F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386.8pt;margin-top:170.35pt;height:6pt;width:43.55pt;rotation:-1703936f;z-index:251691008;mso-width-relative:page;mso-height-relative:page;" fillcolor="#00B0F0" filled="t" stroked="t" coordsize="21600,21600" o:gfxdata="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UfcNzbAAAACwEAAA8AAAAAAAAAAQAgAAAAIgAAAGRycy9kb3ducmV2LnhtbFBL&#10;AQIUABQAAAAIAIdO4kADvgloLAIAAIgEAAAOAAAAAAAAAAEAIAAAACoBAABkcnMvZTJvRG9jLnht&#10;bFBLBQYAAAAABgAGAFkBAADIBQAAAAA=&#10;" adj="11610,5400">
                <v:fill on="t" focussize="0,0"/>
                <v:stroke color="#00B0F0"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2816" behindDoc="0" locked="0" layoutInCell="1" allowOverlap="1">
                <wp:simplePos x="0" y="0"/>
                <wp:positionH relativeFrom="column">
                  <wp:posOffset>5144770</wp:posOffset>
                </wp:positionH>
                <wp:positionV relativeFrom="paragraph">
                  <wp:posOffset>1571625</wp:posOffset>
                </wp:positionV>
                <wp:extent cx="97790" cy="330835"/>
                <wp:effectExtent l="1270" t="59055" r="0" b="71755"/>
                <wp:wrapNone/>
                <wp:docPr id="55" name="下箭头 55"/>
                <wp:cNvGraphicFramePr/>
                <a:graphic xmlns:a="http://schemas.openxmlformats.org/drawingml/2006/main">
                  <a:graphicData uri="http://schemas.microsoft.com/office/word/2010/wordprocessingShape">
                    <wps:wsp>
                      <wps:cNvSpPr/>
                      <wps:spPr>
                        <a:xfrm rot="1788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405.1pt;margin-top:123.75pt;height:26.05pt;width:7.7pt;rotation:-4063232f;z-index:251682816;v-text-anchor:middle;mso-width-relative:page;mso-height-relative:page;" fillcolor="#00B0F0" filled="t" stroked="t" coordsize="21600,21600" o:gfxdata="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OmTSNbYAAAACwEAAA8AAAAAAAAAAQAgAAAA&#10;IgAAAGRycy9kb3ducmV2LnhtbFBLAQIUABQAAAAIAIdO4kB9oen7fQIAAAsFAAAOAAAAAAAAAAEA&#10;IAAAACcBAABkcnMvZTJvRG9jLnhtbFBLBQYAAAAABgAGAFkBAAAWBgAAAAA=&#10;" adj="18408,5400">
                <v:fill on="t" focussize="0,0"/>
                <v:stroke weight="1pt" color="#00B0F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0768" behindDoc="0" locked="0" layoutInCell="1" allowOverlap="1">
                <wp:simplePos x="0" y="0"/>
                <wp:positionH relativeFrom="column">
                  <wp:posOffset>3477260</wp:posOffset>
                </wp:positionH>
                <wp:positionV relativeFrom="paragraph">
                  <wp:posOffset>1475740</wp:posOffset>
                </wp:positionV>
                <wp:extent cx="80645" cy="420370"/>
                <wp:effectExtent l="0" t="95885" r="0" b="113030"/>
                <wp:wrapNone/>
                <wp:docPr id="35" name="下箭头 35"/>
                <wp:cNvGraphicFramePr/>
                <a:graphic xmlns:a="http://schemas.openxmlformats.org/drawingml/2006/main">
                  <a:graphicData uri="http://schemas.microsoft.com/office/word/2010/wordprocessingShape">
                    <wps:wsp>
                      <wps:cNvSpPr/>
                      <wps:spPr>
                        <a:xfrm rot="14220000">
                          <a:off x="0" y="0"/>
                          <a:ext cx="80645" cy="420370"/>
                        </a:xfrm>
                        <a:prstGeom prst="down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73.8pt;margin-top:116.2pt;height:33.1pt;width:6.35pt;rotation:-8060928f;z-index:251680768;v-text-anchor:middle;mso-width-relative:page;mso-height-relative:page;" fillcolor="#00B050" filled="t" stroked="t" coordsize="21600,21600" o:gfxdata="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UM9TJNoAAAALAQAADwAAAAAAAAABACAA&#10;AAAiAAAAZHJzL2Rvd25yZXYueG1sUEsBAhQAFAAAAAgAh07iQCh1oA99AgAACwUAAA4AAAAAAAAA&#10;AQAgAAAAKQEAAGRycy9lMm9Eb2MueG1sUEsFBgAAAAAGAAYAWQEAABgGAAAAAA==&#10;" adj="19529,5400">
                <v:fill on="t" focussize="0,0"/>
                <v:stroke weight="1pt" color="#00B05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79744" behindDoc="0" locked="0" layoutInCell="1" allowOverlap="1">
                <wp:simplePos x="0" y="0"/>
                <wp:positionH relativeFrom="column">
                  <wp:posOffset>3502025</wp:posOffset>
                </wp:positionH>
                <wp:positionV relativeFrom="paragraph">
                  <wp:posOffset>1712595</wp:posOffset>
                </wp:positionV>
                <wp:extent cx="81915" cy="224790"/>
                <wp:effectExtent l="0" t="43815" r="12065" b="41910"/>
                <wp:wrapNone/>
                <wp:docPr id="297" name="下箭头 297"/>
                <wp:cNvGraphicFramePr/>
                <a:graphic xmlns:a="http://schemas.openxmlformats.org/drawingml/2006/main">
                  <a:graphicData uri="http://schemas.microsoft.com/office/word/2010/wordprocessingShape">
                    <wps:wsp>
                      <wps:cNvSpPr/>
                      <wps:spPr>
                        <a:xfrm rot="3540000">
                          <a:off x="0" y="0"/>
                          <a:ext cx="81915" cy="224790"/>
                        </a:xfrm>
                        <a:prstGeom prst="downArrow">
                          <a:avLst/>
                        </a:prstGeom>
                        <a:solidFill>
                          <a:srgbClr val="00B050"/>
                        </a:solid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75.75pt;margin-top:134.85pt;height:17.7pt;width:6.45pt;rotation:3866624f;z-index:251679744;v-text-anchor:middle;mso-width-relative:page;mso-height-relative:page;" fillcolor="#00B050" filled="t" stroked="t" coordsize="21600,21600" o:gfxdata="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HCjt5TZAAAACwEAAA8AAAAAAAAAAQAg&#10;AAAAIgAAAGRycy9kb3ducmV2LnhtbFBLAQIUABQAAAAIAIdO4kBmnPwdfwIAAAwFAAAOAAAAAAAA&#10;AAEAIAAAACgBAABkcnMvZTJvRG9jLnhtbFBLBQYAAAAABgAGAFkBAAAZBgAAAAA=&#10;" adj="17665,5400">
                <v:fill on="t" focussize="0,0"/>
                <v:stroke weight="1pt" color="#00B05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78720" behindDoc="0" locked="0" layoutInCell="1" allowOverlap="1">
                <wp:simplePos x="0" y="0"/>
                <wp:positionH relativeFrom="column">
                  <wp:posOffset>2255520</wp:posOffset>
                </wp:positionH>
                <wp:positionV relativeFrom="paragraph">
                  <wp:posOffset>1445895</wp:posOffset>
                </wp:positionV>
                <wp:extent cx="1475105" cy="76200"/>
                <wp:effectExtent l="0" t="273685" r="0" b="274955"/>
                <wp:wrapNone/>
                <wp:docPr id="32" name="右箭头 32"/>
                <wp:cNvGraphicFramePr/>
                <a:graphic xmlns:a="http://schemas.openxmlformats.org/drawingml/2006/main">
                  <a:graphicData uri="http://schemas.microsoft.com/office/word/2010/wordprocessingShape">
                    <wps:wsp>
                      <wps:cNvSpPr/>
                      <wps:spPr>
                        <a:xfrm rot="9420000">
                          <a:off x="0" y="0"/>
                          <a:ext cx="1475105" cy="76200"/>
                        </a:xfrm>
                        <a:prstGeom prst="rightArrow">
                          <a:avLst>
                            <a:gd name="adj1" fmla="val 50000"/>
                            <a:gd name="adj2" fmla="val 391666"/>
                          </a:avLst>
                        </a:prstGeom>
                        <a:solidFill>
                          <a:srgbClr val="00B050"/>
                        </a:solidFill>
                        <a:ln w="9525" cap="flat" cmpd="sng">
                          <a:solidFill>
                            <a:srgbClr val="00B050"/>
                          </a:solidFill>
                          <a:prstDash val="solid"/>
                          <a:miter/>
                          <a:headEnd type="none" w="med" len="med"/>
                          <a:tailEnd type="none" w="med" len="med"/>
                        </a:ln>
                      </wps:spPr>
                      <wps:txbx>
                        <w:txbxContent>
                          <w:p w14:paraId="4FCFAE0A"/>
                        </w:txbxContent>
                      </wps:txbx>
                      <wps:bodyPr upright="1"/>
                    </wps:wsp>
                  </a:graphicData>
                </a:graphic>
              </wp:anchor>
            </w:drawing>
          </mc:Choice>
          <mc:Fallback>
            <w:pict>
              <v:shape id="_x0000_s1026" o:spid="_x0000_s1026" o:spt="13" type="#_x0000_t13" style="position:absolute;left:0pt;margin-left:177.6pt;margin-top:113.85pt;height:6pt;width:116.15pt;rotation:10289152f;z-index:251678720;mso-width-relative:page;mso-height-relative:page;" fillcolor="#00B050" filled="t" stroked="t" coordsize="21600,21600" o:gfxdata="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s5l459oAAAALAQAADwAAAAAAAAABACAAAAAiAAAAZHJzL2Rvd25yZXYu&#10;eG1sUEsBAhQAFAAAAAgAh07iQDFHGt4yAgAAkwQAAA4AAAAAAAAAAQAgAAAAKQEAAGRycy9lMm9E&#10;b2MueG1sUEsFBgAAAAAGAAYAWQEAAM0FAAAAAA==&#10;" adj="17230,5400">
                <v:fill on="t" focussize="0,0"/>
                <v:stroke color="#00B050" joinstyle="miter"/>
                <v:imagedata o:title=""/>
                <o:lock v:ext="edit" aspectratio="f"/>
                <v:textbox>
                  <w:txbxContent>
                    <w:p w14:paraId="4FCFAE0A"/>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76672" behindDoc="0" locked="0" layoutInCell="1" allowOverlap="1">
                <wp:simplePos x="0" y="0"/>
                <wp:positionH relativeFrom="column">
                  <wp:posOffset>2334895</wp:posOffset>
                </wp:positionH>
                <wp:positionV relativeFrom="paragraph">
                  <wp:posOffset>1638300</wp:posOffset>
                </wp:positionV>
                <wp:extent cx="1260475" cy="76200"/>
                <wp:effectExtent l="0" t="233680" r="0" b="254000"/>
                <wp:wrapNone/>
                <wp:docPr id="31" name="右箭头 31"/>
                <wp:cNvGraphicFramePr/>
                <a:graphic xmlns:a="http://schemas.openxmlformats.org/drawingml/2006/main">
                  <a:graphicData uri="http://schemas.microsoft.com/office/word/2010/wordprocessingShape">
                    <wps:wsp>
                      <wps:cNvSpPr/>
                      <wps:spPr>
                        <a:xfrm rot="20160000" flipV="1">
                          <a:off x="0" y="0"/>
                          <a:ext cx="1260475" cy="76200"/>
                        </a:xfrm>
                        <a:prstGeom prst="rightArrow">
                          <a:avLst>
                            <a:gd name="adj1" fmla="val 50000"/>
                            <a:gd name="adj2" fmla="val 391666"/>
                          </a:avLst>
                        </a:prstGeom>
                        <a:solidFill>
                          <a:srgbClr val="00B050"/>
                        </a:solidFill>
                        <a:ln w="9525" cap="flat" cmpd="sng">
                          <a:solidFill>
                            <a:srgbClr val="00B050"/>
                          </a:solidFill>
                          <a:prstDash val="solid"/>
                          <a:miter/>
                          <a:headEnd type="none" w="med" len="med"/>
                          <a:tailEnd type="none" w="med" len="med"/>
                        </a:ln>
                      </wps:spPr>
                      <wps:txbx>
                        <w:txbxContent>
                          <w:p w14:paraId="726A09C0"/>
                        </w:txbxContent>
                      </wps:txbx>
                      <wps:bodyPr upright="1"/>
                    </wps:wsp>
                  </a:graphicData>
                </a:graphic>
              </wp:anchor>
            </w:drawing>
          </mc:Choice>
          <mc:Fallback>
            <w:pict>
              <v:shape id="_x0000_s1026" o:spid="_x0000_s1026" o:spt="13" type="#_x0000_t13" style="position:absolute;left:0pt;flip:y;margin-left:183.85pt;margin-top:129pt;height:6pt;width:99.25pt;rotation:1572864f;z-index:251676672;mso-width-relative:page;mso-height-relative:page;" fillcolor="#00B050" filled="t" stroked="t" coordsize="21600,21600" o:gfxdata="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OZZLNLZAAAACwEAAA8AAAAAAAAAAQAgAAAAIgAAAGRycy9k&#10;b3ducmV2LnhtbFBLAQIUABQAAAAIAIdO4kDrvML2OgIAAJ4EAAAOAAAAAAAAAAEAIAAAACgBAABk&#10;cnMvZTJvRG9jLnhtbFBLBQYAAAAABgAGAFkBAADUBQAAAAA=&#10;" adj="16486,5400">
                <v:fill on="t" focussize="0,0"/>
                <v:stroke color="#00B050" joinstyle="miter"/>
                <v:imagedata o:title=""/>
                <o:lock v:ext="edit" aspectratio="f"/>
                <v:textbox>
                  <w:txbxContent>
                    <w:p w14:paraId="726A09C0"/>
                  </w:txbxContent>
                </v:textbox>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7152" behindDoc="0" locked="0" layoutInCell="1" allowOverlap="1">
                <wp:simplePos x="0" y="0"/>
                <wp:positionH relativeFrom="column">
                  <wp:posOffset>4317365</wp:posOffset>
                </wp:positionH>
                <wp:positionV relativeFrom="paragraph">
                  <wp:posOffset>2934970</wp:posOffset>
                </wp:positionV>
                <wp:extent cx="496570" cy="474980"/>
                <wp:effectExtent l="0" t="0" r="0" b="0"/>
                <wp:wrapNone/>
                <wp:docPr id="27" name="艺术字 14"/>
                <wp:cNvGraphicFramePr/>
                <a:graphic xmlns:a="http://schemas.openxmlformats.org/drawingml/2006/main">
                  <a:graphicData uri="http://schemas.microsoft.com/office/word/2010/wordprocessingShape">
                    <wps:wsp>
                      <wps:cNvSpPr/>
                      <wps:spPr>
                        <a:xfrm>
                          <a:off x="0" y="0"/>
                          <a:ext cx="496570" cy="474980"/>
                        </a:xfrm>
                        <a:prstGeom prst="rect">
                          <a:avLst/>
                        </a:prstGeom>
                        <a:noFill/>
                        <a:ln w="3175" cap="flat" cmpd="sng">
                          <a:noFill/>
                          <a:prstDash val="solid"/>
                          <a:headEnd type="none" w="med" len="med"/>
                          <a:tailEnd type="none" w="med" len="med"/>
                        </a:ln>
                        <a:effectLst/>
                      </wps:spPr>
                      <wps:txbx>
                        <w:txbxContent>
                          <w:p w14:paraId="4F4DF7A2">
                            <w:pPr>
                              <w:jc w:val="center"/>
                              <w:rPr>
                                <w:rFonts w:hint="default" w:eastAsiaTheme="minorEastAsia"/>
                                <w:b/>
                                <w:bCs/>
                                <w:sz w:val="21"/>
                                <w:szCs w:val="21"/>
                                <w:lang w:val="en-US" w:eastAsia="zh-CN"/>
                              </w:rPr>
                            </w:pPr>
                            <w:r>
                              <w:rPr>
                                <w:rFonts w:hint="eastAsia"/>
                                <w:b/>
                                <w:bCs/>
                                <w:sz w:val="21"/>
                                <w:szCs w:val="21"/>
                                <w:lang w:val="en-US" w:eastAsia="zh-CN"/>
                              </w:rPr>
                              <w:t>消防水池</w:t>
                            </w:r>
                          </w:p>
                        </w:txbxContent>
                      </wps:txbx>
                      <wps:bodyPr/>
                    </wps:wsp>
                  </a:graphicData>
                </a:graphic>
              </wp:anchor>
            </w:drawing>
          </mc:Choice>
          <mc:Fallback>
            <w:pict>
              <v:rect id="艺术字 14" o:spid="_x0000_s1026" o:spt="1" style="position:absolute;left:0pt;margin-left:339.95pt;margin-top:231.1pt;height:37.4pt;width:39.1pt;z-index:251697152;mso-width-relative:page;mso-height-relative:page;" filled="f" stroked="f" coordsize="21600,21600" o:gfxdata="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x9m8&#10;6NgAAAALAQAADwAAAAAAAAABACAAAAAiAAAAZHJzL2Rvd25yZXYueG1sUEsBAhQAFAAAAAgAh07i&#10;QJJhPsrpAQAA0wMAAA4AAAAAAAAAAQAgAAAAJwEAAGRycy9lMm9Eb2MueG1sUEsFBgAAAAAGAAYA&#10;WQEAAIIFAAAAAA==&#10;">
                <v:fill on="f" focussize="0,0"/>
                <v:stroke on="f" weight="0.25pt"/>
                <v:imagedata o:title=""/>
                <o:lock v:ext="edit" aspectratio="f"/>
                <v:textbox>
                  <w:txbxContent>
                    <w:p w14:paraId="4F4DF7A2">
                      <w:pPr>
                        <w:jc w:val="center"/>
                        <w:rPr>
                          <w:rFonts w:hint="default" w:eastAsiaTheme="minorEastAsia"/>
                          <w:b/>
                          <w:bCs/>
                          <w:sz w:val="21"/>
                          <w:szCs w:val="21"/>
                          <w:lang w:val="en-US" w:eastAsia="zh-CN"/>
                        </w:rPr>
                      </w:pPr>
                      <w:r>
                        <w:rPr>
                          <w:rFonts w:hint="eastAsia"/>
                          <w:b/>
                          <w:bCs/>
                          <w:sz w:val="21"/>
                          <w:szCs w:val="21"/>
                          <w:lang w:val="en-US" w:eastAsia="zh-CN"/>
                        </w:rPr>
                        <w:t>消防水池</w:t>
                      </w:r>
                    </w:p>
                  </w:txbxContent>
                </v:textbox>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6128" behindDoc="0" locked="0" layoutInCell="1" allowOverlap="1">
                <wp:simplePos x="0" y="0"/>
                <wp:positionH relativeFrom="column">
                  <wp:posOffset>4335145</wp:posOffset>
                </wp:positionH>
                <wp:positionV relativeFrom="paragraph">
                  <wp:posOffset>2782570</wp:posOffset>
                </wp:positionV>
                <wp:extent cx="446405" cy="720725"/>
                <wp:effectExtent l="98425" t="55245" r="110490" b="62230"/>
                <wp:wrapNone/>
                <wp:docPr id="13" name="矩形 13"/>
                <wp:cNvGraphicFramePr/>
                <a:graphic xmlns:a="http://schemas.openxmlformats.org/drawingml/2006/main">
                  <a:graphicData uri="http://schemas.microsoft.com/office/word/2010/wordprocessingShape">
                    <wps:wsp>
                      <wps:cNvSpPr/>
                      <wps:spPr>
                        <a:xfrm rot="20640000">
                          <a:off x="0" y="0"/>
                          <a:ext cx="446405" cy="720725"/>
                        </a:xfrm>
                        <a:prstGeom prst="rect">
                          <a:avLst/>
                        </a:prstGeom>
                        <a:solidFill>
                          <a:schemeClr val="bg1"/>
                        </a:solid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1.35pt;margin-top:219.1pt;height:56.75pt;width:35.15pt;rotation:-1048576f;z-index:251696128;v-text-anchor:middle;mso-width-relative:page;mso-height-relative:page;" fillcolor="#FFFFFF [3212]" filled="t" stroked="t" coordsize="21600,21600" o:gfxdata="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D94KUDbAAAACwEAAA8AAAAAAAAAAQAgAAAAIgAA&#10;AGRycy9kb3ducmV2LnhtbFBLAQIUABQAAAAIAIdO4kCQQHKDdwIAAAQFAAAOAAAAAAAAAAEAIAAA&#10;ACoBAABkcnMvZTJvRG9jLnhtbFBLBQYAAAAABgAGAFkBAAATBgAAAAA=&#10;">
                <v:fill on="t" focussize="0,0"/>
                <v:stroke weight="1pt" color="#000000 [3213]" miterlimit="8" joinstyle="miter"/>
                <v:imagedata o:title=""/>
                <o:lock v:ext="edit" aspectratio="f"/>
              </v:rect>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2032" behindDoc="0" locked="0" layoutInCell="1" allowOverlap="1">
                <wp:simplePos x="0" y="0"/>
                <wp:positionH relativeFrom="column">
                  <wp:posOffset>4844415</wp:posOffset>
                </wp:positionH>
                <wp:positionV relativeFrom="paragraph">
                  <wp:posOffset>1209675</wp:posOffset>
                </wp:positionV>
                <wp:extent cx="97790" cy="330835"/>
                <wp:effectExtent l="0" t="81280" r="0" b="80010"/>
                <wp:wrapNone/>
                <wp:docPr id="57" name="下箭头 57"/>
                <wp:cNvGraphicFramePr/>
                <a:graphic xmlns:a="http://schemas.openxmlformats.org/drawingml/2006/main">
                  <a:graphicData uri="http://schemas.microsoft.com/office/word/2010/wordprocessingShape">
                    <wps:wsp>
                      <wps:cNvSpPr/>
                      <wps:spPr>
                        <a:xfrm rot="1848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381.45pt;margin-top:95.25pt;height:26.05pt;width:7.7pt;rotation:-3407872f;z-index:251692032;v-text-anchor:middle;mso-width-relative:page;mso-height-relative:page;" fillcolor="#00B0F0" filled="t" stroked="t" coordsize="21600,21600" o:gfxdata="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HKRritoAAAALAQAADwAAAAAAAAABACAA&#10;AAAiAAAAZHJzL2Rvd25yZXYueG1sUEsBAhQAFAAAAAgAh07iQPrb2NF9AgAACwUAAA4AAAAAAAAA&#10;AQAgAAAAKQEAAGRycy9lMm9Eb2MueG1sUEsFBgAAAAAGAAYAWQEAABgGAAAAAA==&#10;" adj="18408,5400">
                <v:fill on="t" focussize="0,0"/>
                <v:stroke weight="1pt" color="#00B0F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93056" behindDoc="0" locked="0" layoutInCell="1" allowOverlap="1">
                <wp:simplePos x="0" y="0"/>
                <wp:positionH relativeFrom="column">
                  <wp:posOffset>4391025</wp:posOffset>
                </wp:positionH>
                <wp:positionV relativeFrom="paragraph">
                  <wp:posOffset>1155700</wp:posOffset>
                </wp:positionV>
                <wp:extent cx="97790" cy="330835"/>
                <wp:effectExtent l="6350" t="15875" r="13335" b="23495"/>
                <wp:wrapNone/>
                <wp:docPr id="58" name="下箭头 58"/>
                <wp:cNvGraphicFramePr/>
                <a:graphic xmlns:a="http://schemas.openxmlformats.org/drawingml/2006/main">
                  <a:graphicData uri="http://schemas.microsoft.com/office/word/2010/wordprocessingShape">
                    <wps:wsp>
                      <wps:cNvSpPr/>
                      <wps:spPr>
                        <a:xfrm rot="1620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345.75pt;margin-top:91pt;height:26.05pt;width:7.7pt;rotation:-5898240f;z-index:251693056;v-text-anchor:middle;mso-width-relative:page;mso-height-relative:page;" fillcolor="#00B0F0" filled="t" stroked="t" coordsize="21600,21600" o:gfxdata="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D1kEZr2wAAAAsBAAAPAAAAAAAAAAEA&#10;IAAAACIAAABkcnMvZG93bnJldi54bWxQSwECFAAUAAAACACHTuJAaLd2zn4CAAALBQAADgAAAAAA&#10;AAABACAAAAAqAQAAZHJzL2Uyb0RvYy54bWxQSwUGAAAAAAYABgBZAQAAGgYAAAAA&#10;" adj="18408,5400">
                <v:fill on="t" focussize="0,0"/>
                <v:stroke weight="1pt" color="#00B0F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9984" behindDoc="0" locked="0" layoutInCell="1" allowOverlap="1">
                <wp:simplePos x="0" y="0"/>
                <wp:positionH relativeFrom="column">
                  <wp:posOffset>3166745</wp:posOffset>
                </wp:positionH>
                <wp:positionV relativeFrom="paragraph">
                  <wp:posOffset>2197735</wp:posOffset>
                </wp:positionV>
                <wp:extent cx="97790" cy="330835"/>
                <wp:effectExtent l="8890" t="3810" r="10795" b="35560"/>
                <wp:wrapNone/>
                <wp:docPr id="54" name="下箭头 54"/>
                <wp:cNvGraphicFramePr/>
                <a:graphic xmlns:a="http://schemas.openxmlformats.org/drawingml/2006/main">
                  <a:graphicData uri="http://schemas.microsoft.com/office/word/2010/wordprocessingShape">
                    <wps:wsp>
                      <wps:cNvSpPr/>
                      <wps:spPr>
                        <a:xfrm rot="1656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49.35pt;margin-top:173.05pt;height:26.05pt;width:7.7pt;rotation:-5505024f;z-index:251689984;v-text-anchor:middle;mso-width-relative:page;mso-height-relative:page;" fillcolor="#00B0F0" filled="t" stroked="t" coordsize="21600,21600" o:gfxdata="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P2qPttkAAAALAQAADwAAAAAAAAABACAA&#10;AAAiAAAAZHJzL2Rvd25yZXYueG1sUEsBAhQAFAAAAAgAh07iQAz7EzB+AgAACwUAAA4AAAAAAAAA&#10;AQAgAAAAKAEAAGRycy9lMm9Eb2MueG1sUEsFBgAAAAAGAAYAWQEAABgGAAAAAA==&#10;" adj="18408,5400">
                <v:fill on="t" focussize="0,0"/>
                <v:stroke weight="1pt" color="#00B0F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8960" behindDoc="0" locked="0" layoutInCell="1" allowOverlap="1">
                <wp:simplePos x="0" y="0"/>
                <wp:positionH relativeFrom="column">
                  <wp:posOffset>3545840</wp:posOffset>
                </wp:positionH>
                <wp:positionV relativeFrom="paragraph">
                  <wp:posOffset>2797175</wp:posOffset>
                </wp:positionV>
                <wp:extent cx="97790" cy="330835"/>
                <wp:effectExtent l="8255" t="6985" r="46355" b="12700"/>
                <wp:wrapNone/>
                <wp:docPr id="51" name="下箭头 51"/>
                <wp:cNvGraphicFramePr/>
                <a:graphic xmlns:a="http://schemas.openxmlformats.org/drawingml/2006/main">
                  <a:graphicData uri="http://schemas.microsoft.com/office/word/2010/wordprocessingShape">
                    <wps:wsp>
                      <wps:cNvSpPr/>
                      <wps:spPr>
                        <a:xfrm rot="1134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79.2pt;margin-top:220.25pt;height:26.05pt;width:7.7pt;rotation:-11206656f;z-index:251688960;v-text-anchor:middle;mso-width-relative:page;mso-height-relative:page;" fillcolor="#00B0F0" filled="t" stroked="t" coordsize="21600,21600" o:gfxdata="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jZAtMtwAAAALAQAADwAAAAAAAAAB&#10;ACAAAAAiAAAAZHJzL2Rvd25yZXYueG1sUEsBAhQAFAAAAAgAh07iQPb+zpt+AgAACwUAAA4AAAAA&#10;AAAAAQAgAAAAKwEAAGRycy9lMm9Eb2MueG1sUEsFBgAAAAAGAAYAWQEAABsGAAAAAA==&#10;" adj="18408,5400">
                <v:fill on="t" focussize="0,0"/>
                <v:stroke weight="1pt" color="#00B0F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77696" behindDoc="0" locked="0" layoutInCell="1" allowOverlap="1">
                <wp:simplePos x="0" y="0"/>
                <wp:positionH relativeFrom="column">
                  <wp:posOffset>3718560</wp:posOffset>
                </wp:positionH>
                <wp:positionV relativeFrom="paragraph">
                  <wp:posOffset>2339975</wp:posOffset>
                </wp:positionV>
                <wp:extent cx="97790" cy="330835"/>
                <wp:effectExtent l="9525" t="30480" r="10160" b="8890"/>
                <wp:wrapNone/>
                <wp:docPr id="53" name="下箭头 53"/>
                <wp:cNvGraphicFramePr/>
                <a:graphic xmlns:a="http://schemas.openxmlformats.org/drawingml/2006/main">
                  <a:graphicData uri="http://schemas.microsoft.com/office/word/2010/wordprocessingShape">
                    <wps:wsp>
                      <wps:cNvSpPr/>
                      <wps:spPr>
                        <a:xfrm rot="1572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92.8pt;margin-top:184.25pt;height:26.05pt;width:7.7pt;rotation:-6422528f;z-index:251677696;v-text-anchor:middle;mso-width-relative:page;mso-height-relative:page;" fillcolor="#00B0F0" filled="t" stroked="t" coordsize="21600,21600" o:gfxdata="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LrFWLzaAAAACwEAAA8AAAAAAAAAAQAg&#10;AAAAIgAAAGRycy9kb3ducmV2LnhtbFBLAQIUABQAAAAIAIdO4kDmhY7ffgIAAAsFAAAOAAAAAAAA&#10;AAEAIAAAACkBAABkcnMvZTJvRG9jLnhtbFBLBQYAAAAABgAGAFkBAAAZBgAAAAA=&#10;" adj="18408,5400">
                <v:fill on="t" focussize="0,0"/>
                <v:stroke weight="1pt" color="#00B0F0 [3204]" miterlimit="8" joinstyle="miter"/>
                <v:imagedata o:title=""/>
                <o:lock v:ext="edit" aspectratio="f"/>
              </v:shape>
            </w:pict>
          </mc:Fallback>
        </mc:AlternateContent>
      </w:r>
      <w:r>
        <w:rPr>
          <w:color w:val="000000" w:themeColor="text1"/>
          <w14:textFill>
            <w14:solidFill>
              <w14:schemeClr w14:val="tx1"/>
            </w14:solidFill>
          </w14:textFill>
        </w:rPr>
        <mc:AlternateContent>
          <mc:Choice Requires="wps">
            <w:drawing>
              <wp:anchor distT="0" distB="0" distL="114300" distR="114300" simplePos="0" relativeHeight="251687936" behindDoc="0" locked="0" layoutInCell="1" allowOverlap="1">
                <wp:simplePos x="0" y="0"/>
                <wp:positionH relativeFrom="column">
                  <wp:posOffset>4897120</wp:posOffset>
                </wp:positionH>
                <wp:positionV relativeFrom="paragraph">
                  <wp:posOffset>2527935</wp:posOffset>
                </wp:positionV>
                <wp:extent cx="97790" cy="330835"/>
                <wp:effectExtent l="59055" t="0" r="71755" b="635"/>
                <wp:wrapNone/>
                <wp:docPr id="49" name="下箭头 49"/>
                <wp:cNvGraphicFramePr/>
                <a:graphic xmlns:a="http://schemas.openxmlformats.org/drawingml/2006/main">
                  <a:graphicData uri="http://schemas.microsoft.com/office/word/2010/wordprocessingShape">
                    <wps:wsp>
                      <wps:cNvSpPr/>
                      <wps:spPr>
                        <a:xfrm rot="10200000">
                          <a:off x="0" y="0"/>
                          <a:ext cx="97790" cy="330835"/>
                        </a:xfrm>
                        <a:prstGeom prst="downArrow">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385.6pt;margin-top:199.05pt;height:26.05pt;width:7.7pt;rotation:11141120f;z-index:251687936;v-text-anchor:middle;mso-width-relative:page;mso-height-relative:page;" fillcolor="#00B0F0" filled="t" stroked="t" coordsize="21600,21600" o:gfxdata="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AtT1XJ2wAAAAsBAAAPAAAAAAAAAAEA&#10;IAAAACIAAABkcnMvZG93bnJldi54bWxQSwECFAAUAAAACACHTuJAVl1Dz34CAAALBQAADgAAAAAA&#10;AAABACAAAAAqAQAAZHJzL2Uyb0RvYy54bWxQSwUGAAAAAAYABgBZAQAAGgYAAAAA&#10;" adj="18408,5400">
                <v:fill on="t" focussize="0,0"/>
                <v:stroke weight="1pt" color="#00B0F0 [3204]" miterlimit="8" joinstyle="miter"/>
                <v:imagedata o:title=""/>
                <o:lock v:ext="edit" aspectratio="f"/>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85888" behindDoc="0" locked="0" layoutInCell="1" allowOverlap="1">
                <wp:simplePos x="0" y="0"/>
                <wp:positionH relativeFrom="column">
                  <wp:posOffset>5619115</wp:posOffset>
                </wp:positionH>
                <wp:positionV relativeFrom="paragraph">
                  <wp:posOffset>829310</wp:posOffset>
                </wp:positionV>
                <wp:extent cx="1265555" cy="103505"/>
                <wp:effectExtent l="0" t="250190" r="0" b="271145"/>
                <wp:wrapNone/>
                <wp:docPr id="39" name="右箭头 39"/>
                <wp:cNvGraphicFramePr/>
                <a:graphic xmlns:a="http://schemas.openxmlformats.org/drawingml/2006/main">
                  <a:graphicData uri="http://schemas.microsoft.com/office/word/2010/wordprocessingShape">
                    <wps:wsp>
                      <wps:cNvSpPr/>
                      <wps:spPr>
                        <a:xfrm rot="19980000">
                          <a:off x="0" y="0"/>
                          <a:ext cx="1265555" cy="103505"/>
                        </a:xfrm>
                        <a:prstGeom prst="rightArrow">
                          <a:avLst>
                            <a:gd name="adj1" fmla="val 50000"/>
                            <a:gd name="adj2" fmla="val 335714"/>
                          </a:avLst>
                        </a:prstGeom>
                        <a:solidFill>
                          <a:schemeClr val="tx2"/>
                        </a:solidFill>
                        <a:ln w="9525" cap="flat" cmpd="sng">
                          <a:solidFill>
                            <a:schemeClr val="tx2"/>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442.45pt;margin-top:65.3pt;height:8.15pt;width:99.65pt;rotation:-1769472f;z-index:251685888;mso-width-relative:page;mso-height-relative:page;" fillcolor="#44546A [3215]" filled="t" stroked="t" coordsize="21600,21600" o:gfxdata="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Ap1MjYAAAADAEAAA8AAAAAAAAAAQAgAAAAIgAAAGRycy9kb3ducmV2LnhtbFBL&#10;AQIUABQAAAAIAIdO4kAtOzkHLwIAAIoEAAAOAAAAAAAAAAEAIAAAACcBAABkcnMvZTJvRG9jLnht&#10;bFBLBQYAAAAABgAGAFkBAADIBQAAAAA=&#10;" adj="15670,5400">
                <v:fill on="t" focussize="0,0"/>
                <v:stroke color="#44546A [3215]"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686912" behindDoc="0" locked="0" layoutInCell="1" allowOverlap="1">
                <wp:simplePos x="0" y="0"/>
                <wp:positionH relativeFrom="column">
                  <wp:posOffset>6405880</wp:posOffset>
                </wp:positionH>
                <wp:positionV relativeFrom="paragraph">
                  <wp:posOffset>312420</wp:posOffset>
                </wp:positionV>
                <wp:extent cx="1152525" cy="264160"/>
                <wp:effectExtent l="0" t="0" r="5715" b="10160"/>
                <wp:wrapNone/>
                <wp:docPr id="40" name="文本框 40"/>
                <wp:cNvGraphicFramePr/>
                <a:graphic xmlns:a="http://schemas.openxmlformats.org/drawingml/2006/main">
                  <a:graphicData uri="http://schemas.microsoft.com/office/word/2010/wordprocessingShape">
                    <wps:wsp>
                      <wps:cNvSpPr txBox="1"/>
                      <wps:spPr>
                        <a:xfrm>
                          <a:off x="0" y="0"/>
                          <a:ext cx="1152525" cy="264160"/>
                        </a:xfrm>
                        <a:prstGeom prst="rect">
                          <a:avLst/>
                        </a:prstGeom>
                        <a:solidFill>
                          <a:schemeClr val="bg1"/>
                        </a:solidFill>
                        <a:ln w="6350">
                          <a:noFill/>
                        </a:ln>
                      </wps:spPr>
                      <wps:style>
                        <a:lnRef idx="0">
                          <a:schemeClr val="accent1"/>
                        </a:lnRef>
                        <a:fillRef idx="0">
                          <a:schemeClr val="accent1"/>
                        </a:fillRef>
                        <a:effectRef idx="0">
                          <a:schemeClr val="accent1"/>
                        </a:effectRef>
                        <a:fontRef idx="minor">
                          <a:schemeClr val="dk1"/>
                        </a:fontRef>
                      </wps:style>
                      <wps:txbx>
                        <w:txbxContent>
                          <w:p w14:paraId="3F565B94">
                            <w:pPr>
                              <w:rPr>
                                <w:rFonts w:hint="default" w:eastAsia="宋体"/>
                                <w:b/>
                                <w:bCs/>
                                <w:color w:val="FF0000"/>
                                <w:sz w:val="21"/>
                                <w:szCs w:val="21"/>
                                <w:lang w:val="en-US" w:eastAsia="zh-CN"/>
                              </w:rPr>
                            </w:pPr>
                            <w:r>
                              <w:rPr>
                                <w:rFonts w:hint="eastAsia"/>
                                <w:b/>
                                <w:bCs/>
                                <w:color w:val="FF0000"/>
                                <w:sz w:val="21"/>
                                <w:szCs w:val="21"/>
                                <w:lang w:val="en-US" w:eastAsia="zh-CN"/>
                              </w:rPr>
                              <w:t>园区污水处理厂</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04.4pt;margin-top:24.6pt;height:20.8pt;width:90.75pt;z-index:251686912;mso-width-relative:page;mso-height-relative:page;" fillcolor="#FFFFFF [3212]" filled="t" stroked="f" coordsize="21600,21600" o:gfxdata="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IHuOLVAAAACwEAAA8AAAAA&#10;AAAAAQAgAAAAIgAAAGRycy9kb3ducmV2LnhtbFBLAQIUABQAAAAIAIdO4kDWZHEbUAIAAJEEAAAO&#10;AAAAAAAAAAEAIAAAACQBAABkcnMvZTJvRG9jLnhtbFBLBQYAAAAABgAGAFkBAADmBQAAAAA=&#10;">
                <v:fill on="t" focussize="0,0"/>
                <v:stroke on="f" weight="0.5pt"/>
                <v:imagedata o:title=""/>
                <o:lock v:ext="edit" aspectratio="f"/>
                <v:textbox>
                  <w:txbxContent>
                    <w:p w14:paraId="3F565B94">
                      <w:pPr>
                        <w:rPr>
                          <w:rFonts w:hint="default" w:eastAsia="宋体"/>
                          <w:b/>
                          <w:bCs/>
                          <w:color w:val="FF0000"/>
                          <w:sz w:val="21"/>
                          <w:szCs w:val="21"/>
                          <w:lang w:val="en-US" w:eastAsia="zh-CN"/>
                        </w:rPr>
                      </w:pPr>
                      <w:r>
                        <w:rPr>
                          <w:rFonts w:hint="eastAsia"/>
                          <w:b/>
                          <w:bCs/>
                          <w:color w:val="FF0000"/>
                          <w:sz w:val="21"/>
                          <w:szCs w:val="21"/>
                          <w:lang w:val="en-US" w:eastAsia="zh-CN"/>
                        </w:rPr>
                        <w:t>园区污水处理厂</w:t>
                      </w:r>
                    </w:p>
                  </w:txbxContent>
                </v:textbox>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84864" behindDoc="0" locked="0" layoutInCell="1" allowOverlap="1">
                <wp:simplePos x="0" y="0"/>
                <wp:positionH relativeFrom="column">
                  <wp:posOffset>4608830</wp:posOffset>
                </wp:positionH>
                <wp:positionV relativeFrom="paragraph">
                  <wp:posOffset>1503045</wp:posOffset>
                </wp:positionV>
                <wp:extent cx="934720" cy="76200"/>
                <wp:effectExtent l="0" t="226695" r="0" b="245745"/>
                <wp:wrapNone/>
                <wp:docPr id="38" name="右箭头 38"/>
                <wp:cNvGraphicFramePr/>
                <a:graphic xmlns:a="http://schemas.openxmlformats.org/drawingml/2006/main">
                  <a:graphicData uri="http://schemas.microsoft.com/office/word/2010/wordprocessingShape">
                    <wps:wsp>
                      <wps:cNvSpPr/>
                      <wps:spPr>
                        <a:xfrm rot="19680000">
                          <a:off x="0" y="0"/>
                          <a:ext cx="934720" cy="76200"/>
                        </a:xfrm>
                        <a:prstGeom prst="rightArrow">
                          <a:avLst>
                            <a:gd name="adj1" fmla="val 50000"/>
                            <a:gd name="adj2" fmla="val 335714"/>
                          </a:avLst>
                        </a:prstGeom>
                        <a:solidFill>
                          <a:schemeClr val="tx2"/>
                        </a:solidFill>
                        <a:ln w="9525" cap="flat" cmpd="sng">
                          <a:solidFill>
                            <a:schemeClr val="tx2"/>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362.9pt;margin-top:118.35pt;height:6pt;width:73.6pt;rotation:-2097152f;z-index:251684864;mso-width-relative:page;mso-height-relative:page;" fillcolor="#44546A [3215]" filled="t" stroked="t" coordsize="21600,21600" o:gfxdata="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BZN2pfaAAAACwEAAA8AAAAAAAAAAQAgAAAAIgAAAGRycy9kb3ducmV2LnhtbFBL&#10;AQIUABQAAAAIAIdO4kCv7A9tLQIAAIgEAAAOAAAAAAAAAAEAIAAAACkBAABkcnMvZTJvRG9jLnht&#10;bFBLBQYAAAAABgAGAFkBAADIBQAAAAA=&#10;" adj="15689,5400">
                <v:fill on="t" focussize="0,0"/>
                <v:stroke color="#44546A [3215]" joinstyle="miter"/>
                <v:imagedata o:title=""/>
                <o:lock v:ext="edit" aspectratio="f"/>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83840" behindDoc="0" locked="0" layoutInCell="1" allowOverlap="1">
                <wp:simplePos x="0" y="0"/>
                <wp:positionH relativeFrom="column">
                  <wp:posOffset>3477260</wp:posOffset>
                </wp:positionH>
                <wp:positionV relativeFrom="paragraph">
                  <wp:posOffset>989965</wp:posOffset>
                </wp:positionV>
                <wp:extent cx="2148840" cy="91440"/>
                <wp:effectExtent l="0" t="150495" r="19685" b="139065"/>
                <wp:wrapNone/>
                <wp:docPr id="37" name="右箭头 37"/>
                <wp:cNvGraphicFramePr/>
                <a:graphic xmlns:a="http://schemas.openxmlformats.org/drawingml/2006/main">
                  <a:graphicData uri="http://schemas.microsoft.com/office/word/2010/wordprocessingShape">
                    <wps:wsp>
                      <wps:cNvSpPr/>
                      <wps:spPr>
                        <a:xfrm rot="540000">
                          <a:off x="0" y="0"/>
                          <a:ext cx="2148840" cy="91440"/>
                        </a:xfrm>
                        <a:prstGeom prst="rightArrow">
                          <a:avLst>
                            <a:gd name="adj1" fmla="val 50000"/>
                            <a:gd name="adj2" fmla="val 335714"/>
                          </a:avLst>
                        </a:prstGeom>
                        <a:solidFill>
                          <a:srgbClr val="FFC000"/>
                        </a:solidFill>
                        <a:ln w="9525" cap="flat" cmpd="sng">
                          <a:solidFill>
                            <a:schemeClr val="accent4"/>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273.8pt;margin-top:77.95pt;height:7.2pt;width:169.2pt;rotation:589824f;z-index:251683840;mso-width-relative:page;mso-height-relative:page;" fillcolor="#FFC000" filled="t" stroked="t" coordsize="21600,21600" o:gfxdata="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1VZHYAAAACwEAAA8AAAAAAAAAAQAgAAAAIgAAAGRycy9kb3ducmV2LnhtbFBLAQIU&#10;ABQAAAAIAIdO4kDdGh2PLAIAAIcEAAAOAAAAAAAAAAEAIAAAACcBAABkcnMvZTJvRG9jLnhtbFBL&#10;BQYAAAAABgAGAFkBAADFBQAAAAA=&#10;" adj="18515,5400">
                <v:fill on="t" focussize="0,0"/>
                <v:stroke color="#FFC000 [3207]" joinstyle="miter"/>
                <v:imagedata o:title=""/>
                <o:lock v:ext="edit" aspectratio="f"/>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81792" behindDoc="0" locked="0" layoutInCell="1" allowOverlap="1">
                <wp:simplePos x="0" y="0"/>
                <wp:positionH relativeFrom="column">
                  <wp:posOffset>3292475</wp:posOffset>
                </wp:positionH>
                <wp:positionV relativeFrom="paragraph">
                  <wp:posOffset>1322070</wp:posOffset>
                </wp:positionV>
                <wp:extent cx="1499235" cy="91440"/>
                <wp:effectExtent l="0" t="430530" r="0" b="438150"/>
                <wp:wrapNone/>
                <wp:docPr id="36" name="右箭头 36"/>
                <wp:cNvGraphicFramePr/>
                <a:graphic xmlns:a="http://schemas.openxmlformats.org/drawingml/2006/main">
                  <a:graphicData uri="http://schemas.microsoft.com/office/word/2010/wordprocessingShape">
                    <wps:wsp>
                      <wps:cNvSpPr/>
                      <wps:spPr>
                        <a:xfrm rot="2220000">
                          <a:off x="0" y="0"/>
                          <a:ext cx="1499235" cy="91440"/>
                        </a:xfrm>
                        <a:prstGeom prst="rightArrow">
                          <a:avLst>
                            <a:gd name="adj1" fmla="val 50000"/>
                            <a:gd name="adj2" fmla="val 335714"/>
                          </a:avLst>
                        </a:prstGeom>
                        <a:solidFill>
                          <a:srgbClr val="FFC000"/>
                        </a:solidFill>
                        <a:ln w="9525" cap="flat" cmpd="sng">
                          <a:solidFill>
                            <a:schemeClr val="accent4"/>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259.25pt;margin-top:104.1pt;height:7.2pt;width:118.05pt;rotation:2424832f;z-index:251681792;mso-width-relative:page;mso-height-relative:page;" fillcolor="#FFC000" filled="t" stroked="t" coordsize="21600,21600" o:gfxdata="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LWe3mvZAAAACwEAAA8AAAAAAAAAAQAgAAAAIgAAAGRycy9kb3ducmV2LnhtbFBL&#10;AQIUABQAAAAIAIdO4kCDjORrLgIAAIgEAAAOAAAAAAAAAAEAIAAAACgBAABkcnMvZTJvRG9jLnht&#10;bFBLBQYAAAAABgAGAFkBAADIBQAAAAA=&#10;" adj="17178,5400">
                <v:fill on="t" focussize="0,0"/>
                <v:stroke color="#FFC000 [3207]"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673600" behindDoc="0" locked="0" layoutInCell="1" allowOverlap="1">
                <wp:simplePos x="0" y="0"/>
                <wp:positionH relativeFrom="column">
                  <wp:posOffset>2961640</wp:posOffset>
                </wp:positionH>
                <wp:positionV relativeFrom="paragraph">
                  <wp:posOffset>571500</wp:posOffset>
                </wp:positionV>
                <wp:extent cx="664845" cy="264160"/>
                <wp:effectExtent l="0" t="0" r="0" b="0"/>
                <wp:wrapNone/>
                <wp:docPr id="24" name="文本框 24"/>
                <wp:cNvGraphicFramePr/>
                <a:graphic xmlns:a="http://schemas.openxmlformats.org/drawingml/2006/main">
                  <a:graphicData uri="http://schemas.microsoft.com/office/word/2010/wordprocessingShape">
                    <wps:wsp>
                      <wps:cNvSpPr txBox="1"/>
                      <wps:spPr>
                        <a:xfrm>
                          <a:off x="3668395" y="1843405"/>
                          <a:ext cx="664845" cy="2641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C71CA39">
                            <w:pPr>
                              <w:rPr>
                                <w:rFonts w:hint="default" w:eastAsia="宋体"/>
                                <w:b/>
                                <w:bCs/>
                                <w:sz w:val="21"/>
                                <w:szCs w:val="21"/>
                                <w:lang w:val="en-US" w:eastAsia="zh-CN"/>
                              </w:rPr>
                            </w:pPr>
                            <w:r>
                              <w:rPr>
                                <w:rFonts w:hint="eastAsia"/>
                                <w:b/>
                                <w:bCs/>
                                <w:sz w:val="21"/>
                                <w:szCs w:val="21"/>
                                <w:lang w:val="en-US" w:eastAsia="zh-CN"/>
                              </w:rPr>
                              <w:t>水罐棚</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3.2pt;margin-top:45pt;height:20.8pt;width:52.35pt;z-index:251673600;mso-width-relative:page;mso-height-relative:page;" filled="f" stroked="f" coordsize="21600,21600" o:gfxdata="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YWOEgNsAAAAKAQAADwAAAAAA&#10;AAABACAAAAAiAAAAZHJzL2Rvd25yZXYueG1sUEsBAhQAFAAAAAgAh07iQKaaQmZJAgAAcwQAAA4A&#10;AAAAAAAAAQAgAAAAKgEAAGRycy9lMm9Eb2MueG1sUEsFBgAAAAAGAAYAWQEAAOUFAAAAAA==&#10;">
                <v:fill on="f" focussize="0,0"/>
                <v:stroke on="f" weight="0.5pt"/>
                <v:imagedata o:title=""/>
                <o:lock v:ext="edit" aspectratio="f"/>
                <v:textbox>
                  <w:txbxContent>
                    <w:p w14:paraId="0C71CA39">
                      <w:pPr>
                        <w:rPr>
                          <w:rFonts w:hint="default" w:eastAsia="宋体"/>
                          <w:b/>
                          <w:bCs/>
                          <w:sz w:val="21"/>
                          <w:szCs w:val="21"/>
                          <w:lang w:val="en-US" w:eastAsia="zh-CN"/>
                        </w:rPr>
                      </w:pPr>
                      <w:r>
                        <w:rPr>
                          <w:rFonts w:hint="eastAsia"/>
                          <w:b/>
                          <w:bCs/>
                          <w:sz w:val="21"/>
                          <w:szCs w:val="21"/>
                          <w:lang w:val="en-US" w:eastAsia="zh-CN"/>
                        </w:rPr>
                        <w:t>水罐棚</w:t>
                      </w:r>
                    </w:p>
                  </w:txbxContent>
                </v:textbox>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672576" behindDoc="0" locked="0" layoutInCell="1" allowOverlap="1">
                <wp:simplePos x="0" y="0"/>
                <wp:positionH relativeFrom="column">
                  <wp:posOffset>3276600</wp:posOffset>
                </wp:positionH>
                <wp:positionV relativeFrom="paragraph">
                  <wp:posOffset>781685</wp:posOffset>
                </wp:positionV>
                <wp:extent cx="273685" cy="120015"/>
                <wp:effectExtent l="19685" t="72390" r="26670" b="81915"/>
                <wp:wrapNone/>
                <wp:docPr id="23" name="流程图: 过程 23"/>
                <wp:cNvGraphicFramePr/>
                <a:graphic xmlns:a="http://schemas.openxmlformats.org/drawingml/2006/main">
                  <a:graphicData uri="http://schemas.microsoft.com/office/word/2010/wordprocessingShape">
                    <wps:wsp>
                      <wps:cNvSpPr/>
                      <wps:spPr>
                        <a:xfrm rot="19680000">
                          <a:off x="4139565" y="2189480"/>
                          <a:ext cx="273685" cy="120015"/>
                        </a:xfrm>
                        <a:prstGeom prst="flowChartProcess">
                          <a:avLst/>
                        </a:prstGeom>
                        <a:noFill/>
                        <a:ln>
                          <a:solidFill>
                            <a:schemeClr val="tx1"/>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09" type="#_x0000_t109" style="position:absolute;left:0pt;margin-left:258pt;margin-top:61.55pt;height:9.45pt;width:21.55pt;rotation:-2097152f;z-index:251672576;v-text-anchor:middle;mso-width-relative:page;mso-height-relative:page;" filled="f" stroked="t" coordsize="21600,21600" o:gfxdata="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OUt&#10;S67YAAAACwEAAA8AAAAAAAAAAQAgAAAAIgAAAGRycy9kb3ducmV2LnhtbFBLAQIUABQAAAAIAIdO&#10;4kCcMUUKlQIAAP4EAAAOAAAAAAAAAAEAIAAAACcBAABkcnMvZTJvRG9jLnhtbFBLBQYAAAAABgAG&#10;AFkBAAAuBgAAAAA=&#10;">
                <v:fill on="f" focussize="0,0"/>
                <v:stroke weight="1pt" color="#000000 [3213]" miterlimit="8" joinstyle="miter"/>
                <v:imagedata o:title=""/>
                <o:lock v:ext="edit" aspectratio="f"/>
              </v:shape>
            </w:pict>
          </mc:Fallback>
        </mc:AlternateContent>
      </w:r>
    </w:p>
    <w:p w14:paraId="32CDFCC9">
      <w:pPr>
        <w:pStyle w:val="7"/>
        <w:ind w:firstLine="1124" w:firstLineChars="400"/>
        <w:rPr>
          <w:rFonts w:hint="eastAsia" w:ascii="宋体" w:hAnsi="宋体" w:eastAsia="宋体" w:cs="仿宋"/>
          <w:b/>
          <w:bCs/>
          <w:color w:val="000000" w:themeColor="text1"/>
          <w:kern w:val="32"/>
          <w:sz w:val="28"/>
          <w:szCs w:val="28"/>
          <w:lang w:val="en-US" w:eastAsia="zh-CN" w:bidi="en-US"/>
          <w14:textFill>
            <w14:solidFill>
              <w14:schemeClr w14:val="tx1"/>
            </w14:solidFill>
          </w14:textFill>
        </w:rPr>
      </w:pP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70528" behindDoc="0" locked="0" layoutInCell="1" allowOverlap="1">
                <wp:simplePos x="0" y="0"/>
                <wp:positionH relativeFrom="column">
                  <wp:posOffset>655955</wp:posOffset>
                </wp:positionH>
                <wp:positionV relativeFrom="paragraph">
                  <wp:posOffset>311150</wp:posOffset>
                </wp:positionV>
                <wp:extent cx="1193800" cy="104140"/>
                <wp:effectExtent l="4445" t="5715" r="51435" b="12065"/>
                <wp:wrapNone/>
                <wp:docPr id="283" name="右箭头 283"/>
                <wp:cNvGraphicFramePr/>
                <a:graphic xmlns:a="http://schemas.openxmlformats.org/drawingml/2006/main">
                  <a:graphicData uri="http://schemas.microsoft.com/office/word/2010/wordprocessingShape">
                    <wps:wsp>
                      <wps:cNvSpPr/>
                      <wps:spPr>
                        <a:xfrm>
                          <a:off x="0" y="0"/>
                          <a:ext cx="1193800" cy="104140"/>
                        </a:xfrm>
                        <a:prstGeom prst="rightArrow">
                          <a:avLst>
                            <a:gd name="adj1" fmla="val 50000"/>
                            <a:gd name="adj2" fmla="val 391666"/>
                          </a:avLst>
                        </a:prstGeom>
                        <a:solidFill>
                          <a:srgbClr val="00B050"/>
                        </a:solidFill>
                        <a:ln w="9525" cap="flat" cmpd="sng">
                          <a:solidFill>
                            <a:srgbClr val="00B050"/>
                          </a:solidFill>
                          <a:prstDash val="solid"/>
                          <a:miter/>
                          <a:headEnd type="none" w="med" len="med"/>
                          <a:tailEnd type="none" w="med" len="med"/>
                        </a:ln>
                      </wps:spPr>
                      <wps:txbx>
                        <w:txbxContent>
                          <w:p w14:paraId="6DF1E2A0"/>
                        </w:txbxContent>
                      </wps:txbx>
                      <wps:bodyPr upright="1"/>
                    </wps:wsp>
                  </a:graphicData>
                </a:graphic>
              </wp:anchor>
            </w:drawing>
          </mc:Choice>
          <mc:Fallback>
            <w:pict>
              <v:shape id="_x0000_s1026" o:spid="_x0000_s1026" o:spt="13" type="#_x0000_t13" style="position:absolute;left:0pt;margin-left:51.65pt;margin-top:24.5pt;height:8.2pt;width:94pt;z-index:251670528;mso-width-relative:page;mso-height-relative:page;" fillcolor="#00B050" filled="t" stroked="t" coordsize="21600,21600" o:gfxdata="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HLbAGfWAAAACQEAAA8AAAAAAAAAAQAgAAAAIgAAAGRycy9kb3ducmV2LnhtbFBLAQIUABQA&#10;AAAIAIdO4kAgfJLMKwIAAIgEAAAOAAAAAAAAAAEAIAAAACUBAABkcnMvZTJvRG9jLnhtbFBLBQYA&#10;AAAABgAGAFkBAADCBQAAAAA=&#10;" adj="14221,5400">
                <v:fill on="t" focussize="0,0"/>
                <v:stroke color="#00B050" joinstyle="miter"/>
                <v:imagedata o:title=""/>
                <o:lock v:ext="edit" aspectratio="f"/>
                <v:textbox>
                  <w:txbxContent>
                    <w:p w14:paraId="6DF1E2A0"/>
                  </w:txbxContent>
                </v:textbox>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71552" behindDoc="0" locked="0" layoutInCell="1" allowOverlap="1">
                <wp:simplePos x="0" y="0"/>
                <wp:positionH relativeFrom="column">
                  <wp:posOffset>2200275</wp:posOffset>
                </wp:positionH>
                <wp:positionV relativeFrom="paragraph">
                  <wp:posOffset>310515</wp:posOffset>
                </wp:positionV>
                <wp:extent cx="1265555" cy="119380"/>
                <wp:effectExtent l="4445" t="5715" r="40640" b="12065"/>
                <wp:wrapNone/>
                <wp:docPr id="285" name="右箭头 285"/>
                <wp:cNvGraphicFramePr/>
                <a:graphic xmlns:a="http://schemas.openxmlformats.org/drawingml/2006/main">
                  <a:graphicData uri="http://schemas.microsoft.com/office/word/2010/wordprocessingShape">
                    <wps:wsp>
                      <wps:cNvSpPr/>
                      <wps:spPr>
                        <a:xfrm>
                          <a:off x="0" y="0"/>
                          <a:ext cx="1265555" cy="119380"/>
                        </a:xfrm>
                        <a:prstGeom prst="rightArrow">
                          <a:avLst>
                            <a:gd name="adj1" fmla="val 50000"/>
                            <a:gd name="adj2" fmla="val 335714"/>
                          </a:avLst>
                        </a:prstGeom>
                        <a:solidFill>
                          <a:srgbClr val="FFC000"/>
                        </a:solidFill>
                        <a:ln w="9525" cap="flat" cmpd="sng">
                          <a:solidFill>
                            <a:schemeClr val="accent4"/>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173.25pt;margin-top:24.45pt;height:9.4pt;width:99.65pt;z-index:251671552;mso-width-relative:page;mso-height-relative:page;" fillcolor="#FFC000" filled="t" stroked="t" coordsize="21600,21600" o:gfxdata="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E&#10;Xd8f1wAAAAkBAAAPAAAAAAAAAAEAIAAAACIAAABkcnMvZG93bnJldi54bWxQSwECFAAUAAAACACH&#10;TuJAYPWEvCUCAAB9BAAADgAAAAAAAAABACAAAAAmAQAAZHJzL2Uyb0RvYy54bWxQSwUGAAAAAAYA&#10;BgBZAQAAvQUAAAAA&#10;" adj="14760,5400">
                <v:fill on="t" focussize="0,0"/>
                <v:stroke color="#FFC000 [3207]" joinstyle="miter"/>
                <v:imagedata o:title=""/>
                <o:lock v:ext="edit" aspectratio="f"/>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74624" behindDoc="0" locked="0" layoutInCell="1" allowOverlap="1">
                <wp:simplePos x="0" y="0"/>
                <wp:positionH relativeFrom="column">
                  <wp:posOffset>3814445</wp:posOffset>
                </wp:positionH>
                <wp:positionV relativeFrom="paragraph">
                  <wp:posOffset>290195</wp:posOffset>
                </wp:positionV>
                <wp:extent cx="1265555" cy="119380"/>
                <wp:effectExtent l="4445" t="5715" r="40640" b="12065"/>
                <wp:wrapNone/>
                <wp:docPr id="25" name="右箭头 25"/>
                <wp:cNvGraphicFramePr/>
                <a:graphic xmlns:a="http://schemas.openxmlformats.org/drawingml/2006/main">
                  <a:graphicData uri="http://schemas.microsoft.com/office/word/2010/wordprocessingShape">
                    <wps:wsp>
                      <wps:cNvSpPr/>
                      <wps:spPr>
                        <a:xfrm>
                          <a:off x="0" y="0"/>
                          <a:ext cx="1265555" cy="119380"/>
                        </a:xfrm>
                        <a:prstGeom prst="rightArrow">
                          <a:avLst>
                            <a:gd name="adj1" fmla="val 50000"/>
                            <a:gd name="adj2" fmla="val 335714"/>
                          </a:avLst>
                        </a:prstGeom>
                        <a:solidFill>
                          <a:schemeClr val="tx2"/>
                        </a:solidFill>
                        <a:ln w="9525" cap="flat" cmpd="sng">
                          <a:solidFill>
                            <a:schemeClr val="tx2"/>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300.35pt;margin-top:22.85pt;height:9.4pt;width:99.65pt;z-index:251674624;mso-width-relative:page;mso-height-relative:page;" fillcolor="#44546A [3215]" filled="t" stroked="t" coordsize="21600,21600" o:gfxdata="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ztG1+dgAAAAJAQAADwAAAAAAAAABACAAAAAiAAAAZHJzL2Rvd25yZXYueG1sUEsBAhQAFAAAAAgA&#10;h07iQKcIlo4lAgAAewQAAA4AAAAAAAAAAQAgAAAAJwEAAGRycy9lMm9Eb2MueG1sUEsFBgAAAAAG&#10;AAYAWQEAAL4FAAAAAA==&#10;" adj="14760,5400">
                <v:fill on="t" focussize="0,0"/>
                <v:stroke color="#44546A [3215]" joinstyle="miter"/>
                <v:imagedata o:title=""/>
                <o:lock v:ext="edit" aspectratio="f"/>
              </v:shape>
            </w:pict>
          </mc:Fallback>
        </mc:AlternateContent>
      </w:r>
      <w:r>
        <w:rPr>
          <w:rFonts w:hint="default" w:ascii="宋体" w:hAnsi="宋体" w:eastAsia="宋体" w:cs="仿宋"/>
          <w:b/>
          <w:bCs/>
          <w:color w:val="000000" w:themeColor="text1"/>
          <w:kern w:val="32"/>
          <w:sz w:val="28"/>
          <w:szCs w:val="28"/>
          <w:lang w:val="en-US" w:eastAsia="zh-CN" w:bidi="en-US"/>
          <w14:textFill>
            <w14:solidFill>
              <w14:schemeClr w14:val="tx1"/>
            </w14:solidFill>
          </w14:textFill>
        </w:rPr>
        <mc:AlternateContent>
          <mc:Choice Requires="wps">
            <w:drawing>
              <wp:anchor distT="0" distB="0" distL="114300" distR="114300" simplePos="0" relativeHeight="251675648" behindDoc="0" locked="0" layoutInCell="1" allowOverlap="1">
                <wp:simplePos x="0" y="0"/>
                <wp:positionH relativeFrom="column">
                  <wp:posOffset>5490845</wp:posOffset>
                </wp:positionH>
                <wp:positionV relativeFrom="paragraph">
                  <wp:posOffset>296545</wp:posOffset>
                </wp:positionV>
                <wp:extent cx="1265555" cy="119380"/>
                <wp:effectExtent l="4445" t="5715" r="40640" b="12065"/>
                <wp:wrapNone/>
                <wp:docPr id="26" name="右箭头 26"/>
                <wp:cNvGraphicFramePr/>
                <a:graphic xmlns:a="http://schemas.openxmlformats.org/drawingml/2006/main">
                  <a:graphicData uri="http://schemas.microsoft.com/office/word/2010/wordprocessingShape">
                    <wps:wsp>
                      <wps:cNvSpPr/>
                      <wps:spPr>
                        <a:xfrm>
                          <a:off x="0" y="0"/>
                          <a:ext cx="1265555" cy="119380"/>
                        </a:xfrm>
                        <a:prstGeom prst="rightArrow">
                          <a:avLst>
                            <a:gd name="adj1" fmla="val 50000"/>
                            <a:gd name="adj2" fmla="val 335714"/>
                          </a:avLst>
                        </a:prstGeom>
                        <a:solidFill>
                          <a:srgbClr val="00B0F0"/>
                        </a:solidFill>
                        <a:ln w="9525" cap="flat" cmpd="sng">
                          <a:solidFill>
                            <a:srgbClr val="00B0F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432.35pt;margin-top:23.35pt;height:9.4pt;width:99.65pt;z-index:251675648;mso-width-relative:page;mso-height-relative:page;" fillcolor="#00B0F0" filled="t" stroked="t" coordsize="21600,21600" o:gfxdata="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F/ININkAAAAKAQAADwAAAAAAAAABACAAAAAiAAAAZHJzL2Rvd25yZXYueG1sUEsBAhQAFAAAAAgA&#10;h07iQAe9idMkAgAAewQAAA4AAAAAAAAAAQAgAAAAKAEAAGRycy9lMm9Eb2MueG1sUEsFBgAAAAAG&#10;AAYAWQEAAL4FAAAAAA==&#10;" adj="14760,5400">
                <v:fill on="t" focussize="0,0"/>
                <v:stroke color="#00B0F0" joinstyle="miter"/>
                <v:imagedata o:title=""/>
                <o:lock v:ext="edit" aspectratio="f"/>
              </v:shape>
            </w:pict>
          </mc:Fallback>
        </mc:AlternateContent>
      </w:r>
      <w:r>
        <w:rPr>
          <w:rFonts w:hint="eastAsia" w:hAnsi="宋体" w:cs="仿宋"/>
          <w:b/>
          <w:bCs/>
          <w:color w:val="000000" w:themeColor="text1"/>
          <w:kern w:val="32"/>
          <w:sz w:val="28"/>
          <w:szCs w:val="28"/>
          <w:lang w:val="en-US" w:eastAsia="zh-CN" w:bidi="en-US"/>
          <w14:textFill>
            <w14:solidFill>
              <w14:schemeClr w14:val="tx1"/>
            </w14:solidFill>
          </w14:textFill>
        </w:rPr>
        <w:t xml:space="preserve">   </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循环水</w:t>
      </w:r>
      <w:r>
        <w:rPr>
          <w:rFonts w:hint="eastAsia" w:hAnsi="宋体" w:cs="仿宋"/>
          <w:b/>
          <w:bCs/>
          <w:color w:val="000000" w:themeColor="text1"/>
          <w:kern w:val="32"/>
          <w:sz w:val="28"/>
          <w:szCs w:val="28"/>
          <w:lang w:val="en-US" w:eastAsia="zh-CN" w:bidi="en-US"/>
          <w14:textFill>
            <w14:solidFill>
              <w14:schemeClr w14:val="tx1"/>
            </w14:solidFill>
          </w14:textFill>
        </w:rPr>
        <w:t xml:space="preserve"> </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 xml:space="preserve">        生活用水          生活废水           初期雨水收集     </w:t>
      </w:r>
    </w:p>
    <w:p w14:paraId="5A3F383F">
      <w:pPr>
        <w:pStyle w:val="8"/>
        <w:bidi w:val="0"/>
        <w:jc w:val="left"/>
        <w:rPr>
          <w:rFonts w:hint="default"/>
          <w:color w:val="000000" w:themeColor="text1"/>
          <w:lang w:val="en-US"/>
          <w14:textFill>
            <w14:solidFill>
              <w14:schemeClr w14:val="tx1"/>
            </w14:solidFill>
          </w14:textFill>
        </w:rPr>
      </w:pPr>
      <w:bookmarkStart w:id="236" w:name="_Toc14827"/>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附件</w:t>
      </w:r>
      <w:r>
        <w:rPr>
          <w:rFonts w:hint="eastAsia" w:ascii="宋体" w:hAnsi="宋体" w:cs="仿宋"/>
          <w:b/>
          <w:bCs/>
          <w:color w:val="000000" w:themeColor="text1"/>
          <w:kern w:val="32"/>
          <w:sz w:val="28"/>
          <w:szCs w:val="28"/>
          <w:lang w:val="en-US" w:eastAsia="zh-CN" w:bidi="en-US"/>
          <w14:textFill>
            <w14:solidFill>
              <w14:schemeClr w14:val="tx1"/>
            </w14:solidFill>
          </w14:textFill>
        </w:rPr>
        <w:t>六</w:t>
      </w:r>
      <w:r>
        <w:rPr>
          <w:rFonts w:hint="eastAsia" w:ascii="宋体" w:hAnsi="宋体" w:eastAsia="宋体" w:cs="仿宋"/>
          <w:b/>
          <w:bCs/>
          <w:color w:val="000000" w:themeColor="text1"/>
          <w:kern w:val="32"/>
          <w:sz w:val="28"/>
          <w:szCs w:val="28"/>
          <w:lang w:val="en-US" w:eastAsia="zh-CN" w:bidi="en-US"/>
          <w14:textFill>
            <w14:solidFill>
              <w14:schemeClr w14:val="tx1"/>
            </w14:solidFill>
          </w14:textFill>
        </w:rPr>
        <w:t>：公司</w:t>
      </w:r>
      <w:r>
        <w:rPr>
          <w:rFonts w:hint="eastAsia" w:ascii="宋体" w:hAnsi="宋体" w:cs="仿宋"/>
          <w:b/>
          <w:bCs/>
          <w:color w:val="000000" w:themeColor="text1"/>
          <w:kern w:val="32"/>
          <w:sz w:val="28"/>
          <w:szCs w:val="28"/>
          <w:lang w:val="en-US" w:eastAsia="zh-CN" w:bidi="en-US"/>
          <w14:textFill>
            <w14:solidFill>
              <w14:schemeClr w14:val="tx1"/>
            </w14:solidFill>
          </w14:textFill>
        </w:rPr>
        <w:t>风险源分布图</w:t>
      </w:r>
      <w:bookmarkEnd w:id="236"/>
    </w:p>
    <w:p w14:paraId="08693B82">
      <w:pPr>
        <w:pStyle w:val="7"/>
        <w:ind w:firstLine="4830" w:firstLineChars="2300"/>
        <w:jc w:val="left"/>
        <w:rPr>
          <w:rFonts w:hint="default" w:ascii="宋体" w:hAnsi="宋体" w:eastAsia="宋体" w:cs="仿宋"/>
          <w:b/>
          <w:bCs/>
          <w:color w:val="000000" w:themeColor="text1"/>
          <w:kern w:val="32"/>
          <w:sz w:val="28"/>
          <w:szCs w:val="28"/>
          <w:lang w:val="en-US" w:eastAsia="zh-CN" w:bidi="en-US"/>
          <w14:textFill>
            <w14:solidFill>
              <w14:schemeClr w14:val="tx1"/>
            </w14:solidFill>
          </w14:textFill>
        </w:rPr>
      </w:pPr>
      <w:r>
        <w:rPr>
          <w:color w:val="000000" w:themeColor="text1"/>
          <w:sz w:val="21"/>
          <w14:textFill>
            <w14:solidFill>
              <w14:schemeClr w14:val="tx1"/>
            </w14:solidFill>
          </w14:textFill>
        </w:rPr>
        <mc:AlternateContent>
          <mc:Choice Requires="wps">
            <w:drawing>
              <wp:anchor distT="0" distB="0" distL="114300" distR="114300" simplePos="0" relativeHeight="251710464" behindDoc="0" locked="0" layoutInCell="1" allowOverlap="1">
                <wp:simplePos x="0" y="0"/>
                <wp:positionH relativeFrom="column">
                  <wp:posOffset>3949700</wp:posOffset>
                </wp:positionH>
                <wp:positionV relativeFrom="paragraph">
                  <wp:posOffset>3679825</wp:posOffset>
                </wp:positionV>
                <wp:extent cx="246380" cy="238125"/>
                <wp:effectExtent l="19050" t="20955" r="24130" b="30480"/>
                <wp:wrapNone/>
                <wp:docPr id="48" name="五角星 48"/>
                <wp:cNvGraphicFramePr/>
                <a:graphic xmlns:a="http://schemas.openxmlformats.org/drawingml/2006/main">
                  <a:graphicData uri="http://schemas.microsoft.com/office/word/2010/wordprocessingShape">
                    <wps:wsp>
                      <wps:cNvSpPr/>
                      <wps:spPr>
                        <a:xfrm>
                          <a:off x="0" y="0"/>
                          <a:ext cx="246380" cy="2381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11pt;margin-top:289.75pt;height:18.75pt;width:19.4pt;z-index:251710464;v-text-anchor:middle;mso-width-relative:page;mso-height-relative:page;" fillcolor="#FF0000" filled="t" stroked="t" coordsize="246380,238125" o:gfxdata="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V0KOc2gAAAAsBAAAPAAAAAAAAAAEAIAAAACIAAABkcnMv&#10;ZG93bnJldi54bWxQSwECFAAUAAAACACHTuJA9zL7eHMCAAD5BAAADgAAAAAAAAABACAAAAApAQAA&#10;ZHJzL2Uyb0RvYy54bWxQSwUGAAAAAAYABgBZAQAADgYAAAAA&#10;" path="m0,90955l94109,90956,123190,0,152270,90956,246379,90955,170243,147168,199325,238124,123190,181910,47054,238124,76136,147168xe">
                <v:path o:connectlocs="123190,0;0,90955;47054,238124;199325,238124;246379,90955" o:connectangles="247,164,82,82,0"/>
                <v:fill on="t" focussize="0,0"/>
                <v:stroke weight="1pt" color="#FF0000 [2404]" miterlimit="8"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709440" behindDoc="0" locked="0" layoutInCell="1" allowOverlap="1">
                <wp:simplePos x="0" y="0"/>
                <wp:positionH relativeFrom="column">
                  <wp:posOffset>5262245</wp:posOffset>
                </wp:positionH>
                <wp:positionV relativeFrom="paragraph">
                  <wp:posOffset>3282315</wp:posOffset>
                </wp:positionV>
                <wp:extent cx="246380" cy="238125"/>
                <wp:effectExtent l="19050" t="20955" r="24130" b="30480"/>
                <wp:wrapNone/>
                <wp:docPr id="47" name="五角星 47"/>
                <wp:cNvGraphicFramePr/>
                <a:graphic xmlns:a="http://schemas.openxmlformats.org/drawingml/2006/main">
                  <a:graphicData uri="http://schemas.microsoft.com/office/word/2010/wordprocessingShape">
                    <wps:wsp>
                      <wps:cNvSpPr/>
                      <wps:spPr>
                        <a:xfrm>
                          <a:off x="0" y="0"/>
                          <a:ext cx="246380" cy="2381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14.35pt;margin-top:258.45pt;height:18.75pt;width:19.4pt;z-index:251709440;v-text-anchor:middle;mso-width-relative:page;mso-height-relative:page;" fillcolor="#FF0000" filled="t" stroked="t" coordsize="246380,238125" o:gfxdata="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&#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DYgrIjbAAAACwEAAA8AAAAAAAAAAQAgAAAAIgAAAGRy&#10;cy9kb3ducmV2LnhtbFBLAQIUABQAAAAIAIdO4kCTweXidAIAAPkEAAAOAAAAAAAAAAEAIAAAACoB&#10;AABkcnMvZTJvRG9jLnhtbFBLBQYAAAAABgAGAFkBAAAQBgAAAAA=&#10;" path="m0,90955l94109,90956,123190,0,152270,90956,246379,90955,170243,147168,199325,238124,123190,181910,47054,238124,76136,147168xe">
                <v:path o:connectlocs="123190,0;0,90955;47054,238124;199325,238124;246379,90955" o:connectangles="247,164,82,82,0"/>
                <v:fill on="t" focussize="0,0"/>
                <v:stroke weight="1pt" color="#FF0000 [2404]" miterlimit="8"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708416" behindDoc="0" locked="0" layoutInCell="1" allowOverlap="1">
                <wp:simplePos x="0" y="0"/>
                <wp:positionH relativeFrom="column">
                  <wp:posOffset>5474335</wp:posOffset>
                </wp:positionH>
                <wp:positionV relativeFrom="paragraph">
                  <wp:posOffset>2350770</wp:posOffset>
                </wp:positionV>
                <wp:extent cx="246380" cy="238125"/>
                <wp:effectExtent l="19050" t="20955" r="24130" b="30480"/>
                <wp:wrapNone/>
                <wp:docPr id="46" name="五角星 46"/>
                <wp:cNvGraphicFramePr/>
                <a:graphic xmlns:a="http://schemas.openxmlformats.org/drawingml/2006/main">
                  <a:graphicData uri="http://schemas.microsoft.com/office/word/2010/wordprocessingShape">
                    <wps:wsp>
                      <wps:cNvSpPr/>
                      <wps:spPr>
                        <a:xfrm>
                          <a:off x="0" y="0"/>
                          <a:ext cx="246380" cy="2381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431.05pt;margin-top:185.1pt;height:18.75pt;width:19.4pt;z-index:251708416;v-text-anchor:middle;mso-width-relative:page;mso-height-relative:page;" fillcolor="#FF0000" filled="t" stroked="t" coordsize="246380,238125" o:gfxdata="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&#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DzeEVbbAAAACwEAAA8AAAAAAAAAAQAgAAAAIgAAAGRy&#10;cy9kb3ducmV2LnhtbFBLAQIUABQAAAAIAIdO4kAMtyLddAIAAPkEAAAOAAAAAAAAAAEAIAAAACoB&#10;AABkcnMvZTJvRG9jLnhtbFBLBQYAAAAABgAGAFkBAAAQBgAAAAA=&#10;" path="m0,90955l94109,90956,123190,0,152270,90956,246379,90955,170243,147168,199325,238124,123190,181910,47054,238124,76136,147168xe">
                <v:path o:connectlocs="123190,0;0,90955;47054,238124;199325,238124;246379,90955" o:connectangles="247,164,82,82,0"/>
                <v:fill on="t" focussize="0,0"/>
                <v:stroke weight="1pt" color="#FF0000 [2404]" miterlimit="8"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707392" behindDoc="0" locked="0" layoutInCell="1" allowOverlap="1">
                <wp:simplePos x="0" y="0"/>
                <wp:positionH relativeFrom="column">
                  <wp:posOffset>2223135</wp:posOffset>
                </wp:positionH>
                <wp:positionV relativeFrom="paragraph">
                  <wp:posOffset>2553970</wp:posOffset>
                </wp:positionV>
                <wp:extent cx="246380" cy="238125"/>
                <wp:effectExtent l="19050" t="20955" r="24130" b="30480"/>
                <wp:wrapNone/>
                <wp:docPr id="44" name="五角星 44"/>
                <wp:cNvGraphicFramePr/>
                <a:graphic xmlns:a="http://schemas.openxmlformats.org/drawingml/2006/main">
                  <a:graphicData uri="http://schemas.microsoft.com/office/word/2010/wordprocessingShape">
                    <wps:wsp>
                      <wps:cNvSpPr/>
                      <wps:spPr>
                        <a:xfrm>
                          <a:off x="0" y="0"/>
                          <a:ext cx="246380" cy="2381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175.05pt;margin-top:201.1pt;height:18.75pt;width:19.4pt;z-index:251707392;v-text-anchor:middle;mso-width-relative:page;mso-height-relative:page;" fillcolor="#FF0000" filled="t" stroked="t" coordsize="246380,238125" o:gfxdata="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&#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DlYYL/bAAAACwEAAA8AAAAAAAAAAQAgAAAAIgAAAGRy&#10;cy9kb3ducmV2LnhtbFBLAQIUABQAAAAIAIdO4kAyWqyidAIAAPkEAAAOAAAAAAAAAAEAIAAAACoB&#10;AABkcnMvZTJvRG9jLnhtbFBLBQYAAAAABgAGAFkBAAAQBgAAAAA=&#10;" path="m0,90955l94109,90956,123190,0,152270,90956,246379,90955,170243,147168,199325,238124,123190,181910,47054,238124,76136,147168xe">
                <v:path o:connectlocs="123190,0;0,90955;47054,238124;199325,238124;246379,90955" o:connectangles="247,164,82,82,0"/>
                <v:fill on="t" focussize="0,0"/>
                <v:stroke weight="1pt" color="#FF0000 [2404]" miterlimit="8"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706368" behindDoc="0" locked="0" layoutInCell="1" allowOverlap="1">
                <wp:simplePos x="0" y="0"/>
                <wp:positionH relativeFrom="column">
                  <wp:posOffset>4932680</wp:posOffset>
                </wp:positionH>
                <wp:positionV relativeFrom="paragraph">
                  <wp:posOffset>911225</wp:posOffset>
                </wp:positionV>
                <wp:extent cx="246380" cy="238125"/>
                <wp:effectExtent l="19050" t="20955" r="24130" b="30480"/>
                <wp:wrapNone/>
                <wp:docPr id="42" name="五角星 42"/>
                <wp:cNvGraphicFramePr/>
                <a:graphic xmlns:a="http://schemas.openxmlformats.org/drawingml/2006/main">
                  <a:graphicData uri="http://schemas.microsoft.com/office/word/2010/wordprocessingShape">
                    <wps:wsp>
                      <wps:cNvSpPr/>
                      <wps:spPr>
                        <a:xfrm>
                          <a:off x="0" y="0"/>
                          <a:ext cx="246380" cy="238125"/>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388.4pt;margin-top:71.75pt;height:18.75pt;width:19.4pt;z-index:251706368;v-text-anchor:middle;mso-width-relative:page;mso-height-relative:page;" fillcolor="#FF0000" filled="t" stroked="t" coordsize="246380,238125" o:gfxdata="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aupIGdoAAAALAQAADwAAAAAAAAABACAAAAAiAAAAZHJz&#10;L2Rvd25yZXYueG1sUEsBAhQAFAAAAAgAh07iQHBtPyJ0AgAA+QQAAA4AAAAAAAAAAQAgAAAAKQEA&#10;AGRycy9lMm9Eb2MueG1sUEsFBgAAAAAGAAYAWQEAAA8GAAAAAA==&#10;" path="m0,90955l94109,90956,123190,0,152270,90956,246379,90955,170243,147168,199325,238124,123190,181910,47054,238124,76136,147168xe">
                <v:path o:connectlocs="123190,0;0,90955;47054,238124;199325,238124;246379,90955" o:connectangles="247,164,82,82,0"/>
                <v:fill on="t" focussize="0,0"/>
                <v:stroke weight="1pt" color="#FF0000 [2404]" miterlimit="8" joinstyle="miter"/>
                <v:imagedata o:title=""/>
                <o:lock v:ext="edit" aspectratio="f"/>
              </v:shape>
            </w:pict>
          </mc:Fallback>
        </mc:AlternateContent>
      </w:r>
      <w:r>
        <w:rPr>
          <w:color w:val="000000" w:themeColor="text1"/>
          <w:sz w:val="21"/>
          <w14:textFill>
            <w14:solidFill>
              <w14:schemeClr w14:val="tx1"/>
            </w14:solidFill>
          </w14:textFill>
        </w:rPr>
        <mc:AlternateContent>
          <mc:Choice Requires="wps">
            <w:drawing>
              <wp:anchor distT="0" distB="0" distL="114300" distR="114300" simplePos="0" relativeHeight="251705344" behindDoc="0" locked="0" layoutInCell="1" allowOverlap="1">
                <wp:simplePos x="0" y="0"/>
                <wp:positionH relativeFrom="column">
                  <wp:posOffset>2604135</wp:posOffset>
                </wp:positionH>
                <wp:positionV relativeFrom="paragraph">
                  <wp:posOffset>4899025</wp:posOffset>
                </wp:positionV>
                <wp:extent cx="364490" cy="304800"/>
                <wp:effectExtent l="21590" t="18415" r="25400" b="27305"/>
                <wp:wrapNone/>
                <wp:docPr id="41" name="五角星 41"/>
                <wp:cNvGraphicFramePr/>
                <a:graphic xmlns:a="http://schemas.openxmlformats.org/drawingml/2006/main">
                  <a:graphicData uri="http://schemas.microsoft.com/office/word/2010/wordprocessingShape">
                    <wps:wsp>
                      <wps:cNvSpPr/>
                      <wps:spPr>
                        <a:xfrm>
                          <a:off x="2505075" y="6351270"/>
                          <a:ext cx="364490" cy="304800"/>
                        </a:xfrm>
                        <a:prstGeom prst="star5">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style="position:absolute;left:0pt;margin-left:205.05pt;margin-top:385.75pt;height:24pt;width:28.7pt;z-index:251705344;v-text-anchor:middle;mso-width-relative:page;mso-height-relative:page;" fillcolor="#FF0000" filled="t" stroked="t" coordsize="364490,304800" o:gfxdata="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" path="m0,116422l139223,116423,182245,0,225266,116423,364489,116422,251855,188375,294878,304799,182245,232844,69611,304799,112634,188375xe">
                <v:path o:connectlocs="182245,0;0,116422;69611,304799;294878,304799;364489,116422" o:connectangles="247,164,82,82,0"/>
                <v:fill on="t" focussize="0,0"/>
                <v:stroke weight="1pt" color="#FF0000 [2404]" miterlimit="8" joinstyle="miter"/>
                <v:imagedata o:title=""/>
                <o:lock v:ext="edit" aspectratio="f"/>
              </v:shape>
            </w:pict>
          </mc:Fallback>
        </mc:AlternateContent>
      </w:r>
      <w:r>
        <w:rPr>
          <w:rFonts w:hint="eastAsia" w:ascii="宋体" w:hAnsi="宋体" w:eastAsia="宋体" w:cs="仿宋"/>
          <w:color w:val="000000" w:themeColor="text1"/>
          <w:kern w:val="0"/>
          <w:sz w:val="21"/>
          <w:szCs w:val="21"/>
          <w:lang w:val="en-US" w:eastAsia="zh-CN" w:bidi="ar-SA"/>
          <w14:textFill>
            <w14:solidFill>
              <w14:schemeClr w14:val="tx1"/>
            </w14:solidFill>
          </w14:textFill>
        </w:rPr>
        <w:drawing>
          <wp:anchor distT="0" distB="0" distL="114300" distR="114300" simplePos="0" relativeHeight="251704320" behindDoc="0" locked="0" layoutInCell="1" allowOverlap="1">
            <wp:simplePos x="0" y="0"/>
            <wp:positionH relativeFrom="column">
              <wp:posOffset>-8255</wp:posOffset>
            </wp:positionH>
            <wp:positionV relativeFrom="paragraph">
              <wp:posOffset>4445</wp:posOffset>
            </wp:positionV>
            <wp:extent cx="8618855" cy="4869815"/>
            <wp:effectExtent l="0" t="0" r="6985" b="6985"/>
            <wp:wrapSquare wrapText="bothSides"/>
            <wp:docPr id="33" name="图片 33" descr="1728635978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728635978370"/>
                    <pic:cNvPicPr>
                      <a:picLocks noChangeAspect="1"/>
                    </pic:cNvPicPr>
                  </pic:nvPicPr>
                  <pic:blipFill>
                    <a:blip r:embed="rId25"/>
                    <a:srcRect t="449"/>
                    <a:stretch>
                      <a:fillRect/>
                    </a:stretch>
                  </pic:blipFill>
                  <pic:spPr>
                    <a:xfrm>
                      <a:off x="0" y="0"/>
                      <a:ext cx="8618855" cy="4869815"/>
                    </a:xfrm>
                    <a:prstGeom prst="rect">
                      <a:avLst/>
                    </a:prstGeom>
                  </pic:spPr>
                </pic:pic>
              </a:graphicData>
            </a:graphic>
          </wp:anchor>
        </w:drawing>
      </w:r>
      <w:r>
        <w:rPr>
          <w:rFonts w:hint="eastAsia" w:hAnsi="宋体" w:cs="仿宋"/>
          <w:b/>
          <w:bCs/>
          <w:color w:val="000000" w:themeColor="text1"/>
          <w:kern w:val="32"/>
          <w:sz w:val="28"/>
          <w:szCs w:val="28"/>
          <w:lang w:val="en-US" w:eastAsia="zh-CN" w:bidi="en-US"/>
          <w14:textFill>
            <w14:solidFill>
              <w14:schemeClr w14:val="tx1"/>
            </w14:solidFill>
          </w14:textFill>
        </w:rPr>
        <w:t>风险源（易燃，易爆）</w:t>
      </w:r>
    </w:p>
    <w:bookmarkEnd w:id="237"/>
    <w:sectPr>
      <w:pgSz w:w="16838" w:h="11906" w:orient="landscape"/>
      <w:pgMar w:top="1417" w:right="1417" w:bottom="1417" w:left="141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宋体-方正超大字符集">
    <w:altName w:val="宋体"/>
    <w:panose1 w:val="03000509000000000000"/>
    <w:charset w:val="86"/>
    <w:family w:val="script"/>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Arial Unicode MS">
    <w:altName w:val="宋体"/>
    <w:panose1 w:val="020B0604020202020204"/>
    <w:charset w:val="86"/>
    <w:family w:val="roman"/>
    <w:pitch w:val="default"/>
    <w:sig w:usb0="00000000" w:usb1="00000000" w:usb2="0000003F" w:usb3="00000000" w:csb0="603F01FF" w:csb1="FFFF0000"/>
  </w:font>
  <w:font w:name="MicrosoftYaHei">
    <w:altName w:val="宋体"/>
    <w:panose1 w:val="00000000000000000000"/>
    <w:charset w:val="86"/>
    <w:family w:val="auto"/>
    <w:pitch w:val="default"/>
    <w:sig w:usb0="00000000" w:usb1="00000000" w:usb2="00000010" w:usb3="00000000" w:csb0="00040000" w:csb1="00000000"/>
  </w:font>
  <w:font w:name="Segoe UI">
    <w:panose1 w:val="020B0502040204020203"/>
    <w:charset w:val="00"/>
    <w:family w:val="auto"/>
    <w:pitch w:val="default"/>
    <w:sig w:usb0="E4002EFF" w:usb1="C000E47F"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033B61">
    <w:pPr>
      <w:pStyle w:val="17"/>
      <w:framePr w:wrap="around" w:vAnchor="text" w:hAnchor="margin" w:xAlign="center" w:y="1"/>
      <w:rPr>
        <w:rStyle w:val="27"/>
      </w:rPr>
    </w:pPr>
    <w:r>
      <w:fldChar w:fldCharType="begin"/>
    </w:r>
    <w:r>
      <w:rPr>
        <w:rStyle w:val="27"/>
      </w:rPr>
      <w:instrText xml:space="preserve">PAGE  </w:instrText>
    </w:r>
    <w:r>
      <w:fldChar w:fldCharType="end"/>
    </w:r>
  </w:p>
  <w:p w14:paraId="53579D05">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5ADB18">
    <w:pPr>
      <w:pStyle w:val="17"/>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8B4F8">
    <w:pPr>
      <w:pStyle w:val="17"/>
      <w:rPr>
        <w:rFonts w:hint="eastAsia"/>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ACC2768">
                          <w:pPr>
                            <w:pStyle w:val="1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BG+QoMkBAACZAwAADgAAAGRycy9lMm9Eb2MueG1srVPNjtMwEL4j8Q6W&#10;79TZroS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Eb5CgyQEAAJkDAAAOAAAAAAAAAAEAIAAAAB4BAABkcnMvZTJvRG9j&#10;LnhtbFBLBQYAAAAABgAGAFkBAABZBQAAAAA=&#10;">
              <v:fill on="f" focussize="0,0"/>
              <v:stroke on="f"/>
              <v:imagedata o:title=""/>
              <o:lock v:ext="edit" aspectratio="f"/>
              <v:textbox inset="0mm,0mm,0mm,0mm" style="mso-fit-shape-to-text:t;">
                <w:txbxContent>
                  <w:p w14:paraId="2ACC2768">
                    <w:pPr>
                      <w:pStyle w:val="17"/>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2EEB58">
    <w:pPr>
      <w:pStyle w:val="1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D086DA8">
                          <w:pPr>
                            <w:pStyle w:val="1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xml:space="preserve"> </w:t>
                          </w:r>
                          <w:r>
                            <w:rPr>
                              <w:rFonts w:hint="eastAsia"/>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7D086DA8">
                    <w:pPr>
                      <w:pStyle w:val="1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xml:space="preserve"> </w:t>
                    </w:r>
                    <w:r>
                      <w:rPr>
                        <w:rFonts w:hint="eastAsia"/>
                        <w:lang w:eastAsia="zh-CN"/>
                      </w:rPr>
                      <w:fldChar w:fldCharType="end"/>
                    </w: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AAA7AB">
    <w:pPr>
      <w:pStyle w:val="1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076E84">
    <w:pPr>
      <w:pStyle w:val="18"/>
      <w:jc w:val="both"/>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677DC4">
    <w:pPr>
      <w:pStyle w:val="18"/>
      <w:pBdr>
        <w:bottom w:val="single" w:color="auto" w:sz="4" w:space="1"/>
      </w:pBdr>
      <w:rPr>
        <w:rFonts w:hint="eastAsia"/>
      </w:rPr>
    </w:pPr>
    <w:r>
      <w:rPr>
        <w:rFonts w:hint="eastAsia"/>
        <w:sz w:val="18"/>
        <w:lang w:val="en-US" w:eastAsia="zh-CN"/>
      </w:rPr>
      <w:t>安宁泰丰林化工</w:t>
    </w:r>
    <w:r>
      <w:rPr>
        <w:rFonts w:hint="eastAsia"/>
        <w:sz w:val="18"/>
        <w:lang w:eastAsia="zh-CN"/>
      </w:rPr>
      <w:t>有限公司</w:t>
    </w:r>
    <w:r>
      <w:rPr>
        <w:rFonts w:hint="eastAsia"/>
      </w:rPr>
      <w:t xml:space="preserve"> 突发环境事件风险评估报告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930A71"/>
    <w:multiLevelType w:val="singleLevel"/>
    <w:tmpl w:val="0E930A71"/>
    <w:lvl w:ilvl="0" w:tentative="0">
      <w:start w:val="1"/>
      <w:numFmt w:val="decimal"/>
      <w:suff w:val="nothing"/>
      <w:lvlText w:val="（%1）"/>
      <w:lvlJc w:val="left"/>
    </w:lvl>
  </w:abstractNum>
  <w:abstractNum w:abstractNumId="1">
    <w:nsid w:val="6BBDFC9C"/>
    <w:multiLevelType w:val="singleLevel"/>
    <w:tmpl w:val="6BBDFC9C"/>
    <w:lvl w:ilvl="0" w:tentative="0">
      <w:start w:val="8"/>
      <w:numFmt w:val="decimal"/>
      <w:suff w:val="nothing"/>
      <w:lvlText w:val="（%1）"/>
      <w:lvlJc w:val="left"/>
    </w:lvl>
  </w:abstractNum>
  <w:abstractNum w:abstractNumId="2">
    <w:nsid w:val="74359FCE"/>
    <w:multiLevelType w:val="singleLevel"/>
    <w:tmpl w:val="74359FCE"/>
    <w:lvl w:ilvl="0" w:tentative="0">
      <w:start w:val="1"/>
      <w:numFmt w:val="decimal"/>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5ZDBiYmQ3NGRkMDVkODRlYmQzNGEwNjNmOTY2NjgifQ=="/>
  </w:docVars>
  <w:rsids>
    <w:rsidRoot w:val="00000000"/>
    <w:rsid w:val="00F37FCB"/>
    <w:rsid w:val="01B12E58"/>
    <w:rsid w:val="024B5477"/>
    <w:rsid w:val="02BF1A03"/>
    <w:rsid w:val="02DA4630"/>
    <w:rsid w:val="03140FDC"/>
    <w:rsid w:val="03367AB9"/>
    <w:rsid w:val="0376606A"/>
    <w:rsid w:val="03977E2B"/>
    <w:rsid w:val="03A8028B"/>
    <w:rsid w:val="03E029A3"/>
    <w:rsid w:val="042042C5"/>
    <w:rsid w:val="049F168E"/>
    <w:rsid w:val="04B13664"/>
    <w:rsid w:val="05590BBC"/>
    <w:rsid w:val="05CB200E"/>
    <w:rsid w:val="064543C4"/>
    <w:rsid w:val="078132CC"/>
    <w:rsid w:val="078D7C71"/>
    <w:rsid w:val="07BE62CF"/>
    <w:rsid w:val="0870264D"/>
    <w:rsid w:val="08B71DD8"/>
    <w:rsid w:val="092F056B"/>
    <w:rsid w:val="09376339"/>
    <w:rsid w:val="096D3B08"/>
    <w:rsid w:val="0A0769E4"/>
    <w:rsid w:val="0A116B8A"/>
    <w:rsid w:val="0A424D7A"/>
    <w:rsid w:val="0A876E4C"/>
    <w:rsid w:val="0B5379F5"/>
    <w:rsid w:val="0D2C188F"/>
    <w:rsid w:val="0DBB2F46"/>
    <w:rsid w:val="0DDA1988"/>
    <w:rsid w:val="0E84636D"/>
    <w:rsid w:val="0FA22032"/>
    <w:rsid w:val="10014FAA"/>
    <w:rsid w:val="10EF574B"/>
    <w:rsid w:val="129A5D7F"/>
    <w:rsid w:val="129F0C93"/>
    <w:rsid w:val="12E52961"/>
    <w:rsid w:val="138A7202"/>
    <w:rsid w:val="138C102F"/>
    <w:rsid w:val="139323BD"/>
    <w:rsid w:val="14755F67"/>
    <w:rsid w:val="14CF2A54"/>
    <w:rsid w:val="14FE41AE"/>
    <w:rsid w:val="16007AB2"/>
    <w:rsid w:val="160778F0"/>
    <w:rsid w:val="16BC42B8"/>
    <w:rsid w:val="17230160"/>
    <w:rsid w:val="177249E0"/>
    <w:rsid w:val="177D4C7B"/>
    <w:rsid w:val="17816862"/>
    <w:rsid w:val="17D340AC"/>
    <w:rsid w:val="183B1275"/>
    <w:rsid w:val="18673E19"/>
    <w:rsid w:val="19A76BC3"/>
    <w:rsid w:val="1A211F42"/>
    <w:rsid w:val="1A4D3E28"/>
    <w:rsid w:val="1B506DE6"/>
    <w:rsid w:val="1D733E28"/>
    <w:rsid w:val="1DA653E3"/>
    <w:rsid w:val="1F8C1C8E"/>
    <w:rsid w:val="20081CC2"/>
    <w:rsid w:val="202B1BD0"/>
    <w:rsid w:val="20B120D5"/>
    <w:rsid w:val="213D5A72"/>
    <w:rsid w:val="22095169"/>
    <w:rsid w:val="2217240B"/>
    <w:rsid w:val="22BD3D31"/>
    <w:rsid w:val="23356FED"/>
    <w:rsid w:val="251D78BE"/>
    <w:rsid w:val="25E357DD"/>
    <w:rsid w:val="264B6B28"/>
    <w:rsid w:val="26914C8F"/>
    <w:rsid w:val="29CC005D"/>
    <w:rsid w:val="2B93360A"/>
    <w:rsid w:val="2BA967CA"/>
    <w:rsid w:val="2C161986"/>
    <w:rsid w:val="2DA336ED"/>
    <w:rsid w:val="2DA853C9"/>
    <w:rsid w:val="2E0E500A"/>
    <w:rsid w:val="2F012812"/>
    <w:rsid w:val="2FCC6F2B"/>
    <w:rsid w:val="2FE204FD"/>
    <w:rsid w:val="2FF16992"/>
    <w:rsid w:val="30103803"/>
    <w:rsid w:val="308E2433"/>
    <w:rsid w:val="325029E4"/>
    <w:rsid w:val="328A09D8"/>
    <w:rsid w:val="33F7209D"/>
    <w:rsid w:val="341E2485"/>
    <w:rsid w:val="34CD6765"/>
    <w:rsid w:val="355E0625"/>
    <w:rsid w:val="35BD768D"/>
    <w:rsid w:val="37911A36"/>
    <w:rsid w:val="389205E6"/>
    <w:rsid w:val="38F117B0"/>
    <w:rsid w:val="39947324"/>
    <w:rsid w:val="39EB7337"/>
    <w:rsid w:val="3B0B1A22"/>
    <w:rsid w:val="3B8E47D8"/>
    <w:rsid w:val="3BA96372"/>
    <w:rsid w:val="3BC92571"/>
    <w:rsid w:val="3D5F6685"/>
    <w:rsid w:val="3D891638"/>
    <w:rsid w:val="3F437F9B"/>
    <w:rsid w:val="3FC76DC7"/>
    <w:rsid w:val="3FE62225"/>
    <w:rsid w:val="40361C2C"/>
    <w:rsid w:val="40401D76"/>
    <w:rsid w:val="40A86BF9"/>
    <w:rsid w:val="41F23423"/>
    <w:rsid w:val="42B97B43"/>
    <w:rsid w:val="42C0596F"/>
    <w:rsid w:val="42C46228"/>
    <w:rsid w:val="435412BA"/>
    <w:rsid w:val="435D635D"/>
    <w:rsid w:val="4396542E"/>
    <w:rsid w:val="440F41E2"/>
    <w:rsid w:val="44C164DB"/>
    <w:rsid w:val="45874CB4"/>
    <w:rsid w:val="46284338"/>
    <w:rsid w:val="466510E8"/>
    <w:rsid w:val="4690085B"/>
    <w:rsid w:val="4707351E"/>
    <w:rsid w:val="47996363"/>
    <w:rsid w:val="47E348F0"/>
    <w:rsid w:val="47ED7B65"/>
    <w:rsid w:val="48E307D9"/>
    <w:rsid w:val="498C7AC9"/>
    <w:rsid w:val="4C383A4E"/>
    <w:rsid w:val="4C545E87"/>
    <w:rsid w:val="4C7B4735"/>
    <w:rsid w:val="4D8C4B13"/>
    <w:rsid w:val="4EA07161"/>
    <w:rsid w:val="4ED0264B"/>
    <w:rsid w:val="4F66711C"/>
    <w:rsid w:val="4FAA00DE"/>
    <w:rsid w:val="522A03EE"/>
    <w:rsid w:val="52481FEA"/>
    <w:rsid w:val="532630C4"/>
    <w:rsid w:val="53F46402"/>
    <w:rsid w:val="5456022E"/>
    <w:rsid w:val="54B52B7B"/>
    <w:rsid w:val="54FB1595"/>
    <w:rsid w:val="55801A9A"/>
    <w:rsid w:val="57F87BFC"/>
    <w:rsid w:val="58720165"/>
    <w:rsid w:val="58C63EE9"/>
    <w:rsid w:val="59605E6B"/>
    <w:rsid w:val="59636841"/>
    <w:rsid w:val="59D32C89"/>
    <w:rsid w:val="5AB47E1B"/>
    <w:rsid w:val="5CEB2CE7"/>
    <w:rsid w:val="5D746389"/>
    <w:rsid w:val="5DC42BDB"/>
    <w:rsid w:val="5E993BCD"/>
    <w:rsid w:val="5E9C47B5"/>
    <w:rsid w:val="5F0E0117"/>
    <w:rsid w:val="5FA345E7"/>
    <w:rsid w:val="5FDB01AB"/>
    <w:rsid w:val="608A5EC3"/>
    <w:rsid w:val="609B3C2C"/>
    <w:rsid w:val="60CF38DC"/>
    <w:rsid w:val="61A77FF5"/>
    <w:rsid w:val="63273E9D"/>
    <w:rsid w:val="63F1024E"/>
    <w:rsid w:val="65312DB1"/>
    <w:rsid w:val="65D60872"/>
    <w:rsid w:val="66081FD6"/>
    <w:rsid w:val="661204ED"/>
    <w:rsid w:val="664A65B8"/>
    <w:rsid w:val="67883E84"/>
    <w:rsid w:val="67A23AF2"/>
    <w:rsid w:val="67BA3918"/>
    <w:rsid w:val="680447AD"/>
    <w:rsid w:val="681C1AF7"/>
    <w:rsid w:val="6832028F"/>
    <w:rsid w:val="694766FF"/>
    <w:rsid w:val="69C935B8"/>
    <w:rsid w:val="6B6351DE"/>
    <w:rsid w:val="6B8E2D0B"/>
    <w:rsid w:val="6C3A26C5"/>
    <w:rsid w:val="6D8E4A80"/>
    <w:rsid w:val="6F392157"/>
    <w:rsid w:val="6FC871FB"/>
    <w:rsid w:val="70F536CF"/>
    <w:rsid w:val="71526D44"/>
    <w:rsid w:val="716167CC"/>
    <w:rsid w:val="72537064"/>
    <w:rsid w:val="72D97924"/>
    <w:rsid w:val="73311CA9"/>
    <w:rsid w:val="735F6D3B"/>
    <w:rsid w:val="73CE3C03"/>
    <w:rsid w:val="73F2195D"/>
    <w:rsid w:val="74212737"/>
    <w:rsid w:val="74B834BB"/>
    <w:rsid w:val="7565350D"/>
    <w:rsid w:val="77071BC4"/>
    <w:rsid w:val="78095D59"/>
    <w:rsid w:val="7A241058"/>
    <w:rsid w:val="7B877772"/>
    <w:rsid w:val="7B8C0FB3"/>
    <w:rsid w:val="7B956E5C"/>
    <w:rsid w:val="7BBC1AD5"/>
    <w:rsid w:val="7BE636A4"/>
    <w:rsid w:val="7C0620AC"/>
    <w:rsid w:val="7C501917"/>
    <w:rsid w:val="7CA30726"/>
    <w:rsid w:val="7CF624BE"/>
    <w:rsid w:val="7D5746DE"/>
    <w:rsid w:val="7DBF000C"/>
    <w:rsid w:val="7E7167F9"/>
    <w:rsid w:val="7F45305F"/>
    <w:rsid w:val="7F4A6AF1"/>
    <w:rsid w:val="7F9561A0"/>
    <w:rsid w:val="7FC543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iPriority="39" w:semiHidden="0" w:name="toc 2"/>
    <w:lsdException w:qFormat="1"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iPriority="99"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Calibri" w:hAnsi="Calibri" w:eastAsia="宋体" w:cs="Times New Roman"/>
      <w:kern w:val="2"/>
      <w:sz w:val="21"/>
      <w:szCs w:val="22"/>
      <w:lang w:val="en-US" w:eastAsia="zh-CN" w:bidi="ar-SA"/>
    </w:rPr>
  </w:style>
  <w:style w:type="paragraph" w:styleId="8">
    <w:name w:val="heading 1"/>
    <w:basedOn w:val="1"/>
    <w:next w:val="1"/>
    <w:link w:val="45"/>
    <w:qFormat/>
    <w:uiPriority w:val="0"/>
    <w:pPr>
      <w:keepNext/>
      <w:widowControl/>
      <w:spacing w:before="240" w:after="60"/>
      <w:jc w:val="left"/>
      <w:outlineLvl w:val="0"/>
    </w:pPr>
    <w:rPr>
      <w:rFonts w:ascii="Cambria" w:hAnsi="Cambria" w:eastAsia="宋体" w:cs="Times New Roman"/>
      <w:b/>
      <w:bCs/>
      <w:kern w:val="32"/>
      <w:sz w:val="32"/>
      <w:szCs w:val="32"/>
      <w:lang w:eastAsia="en-US" w:bidi="en-US"/>
    </w:rPr>
  </w:style>
  <w:style w:type="paragraph" w:styleId="9">
    <w:name w:val="heading 2"/>
    <w:basedOn w:val="8"/>
    <w:next w:val="1"/>
    <w:qFormat/>
    <w:uiPriority w:val="9"/>
    <w:pPr>
      <w:keepNext/>
      <w:keepLines/>
      <w:spacing w:before="260" w:after="260" w:line="416" w:lineRule="auto"/>
      <w:outlineLvl w:val="1"/>
    </w:pPr>
    <w:rPr>
      <w:rFonts w:ascii="Cambria" w:hAnsi="Cambria" w:eastAsia="宋体" w:cs="Times New Roman"/>
      <w:sz w:val="32"/>
      <w:szCs w:val="32"/>
    </w:rPr>
  </w:style>
  <w:style w:type="paragraph" w:styleId="10">
    <w:name w:val="heading 3"/>
    <w:basedOn w:val="1"/>
    <w:next w:val="1"/>
    <w:qFormat/>
    <w:uiPriority w:val="9"/>
    <w:pPr>
      <w:keepNext/>
      <w:keepLines/>
      <w:spacing w:before="260" w:after="260" w:line="416" w:lineRule="auto"/>
      <w:outlineLvl w:val="2"/>
    </w:pPr>
    <w:rPr>
      <w:sz w:val="32"/>
      <w:szCs w:val="32"/>
    </w:rPr>
  </w:style>
  <w:style w:type="paragraph" w:styleId="11">
    <w:name w:val="heading 4"/>
    <w:basedOn w:val="1"/>
    <w:next w:val="1"/>
    <w:link w:val="61"/>
    <w:unhideWhenUsed/>
    <w:qFormat/>
    <w:uiPriority w:val="0"/>
    <w:pPr>
      <w:keepNext/>
      <w:keepLines/>
      <w:spacing w:beforeLines="0" w:beforeAutospacing="0" w:afterLines="0" w:afterAutospacing="0" w:line="240" w:lineRule="auto"/>
      <w:ind w:firstLine="0" w:firstLineChars="0"/>
      <w:jc w:val="left"/>
      <w:outlineLvl w:val="3"/>
    </w:pPr>
    <w:rPr>
      <w:rFonts w:ascii="Arial" w:hAnsi="Arial"/>
    </w:rPr>
  </w:style>
  <w:style w:type="character" w:default="1" w:styleId="25">
    <w:name w:val="Default Paragraph Font"/>
    <w:semiHidden/>
    <w:qFormat/>
    <w:uiPriority w:val="0"/>
  </w:style>
  <w:style w:type="table" w:default="1" w:styleId="23">
    <w:name w:val="Normal Table"/>
    <w:semiHidden/>
    <w:qFormat/>
    <w:uiPriority w:val="0"/>
    <w:tblPr>
      <w:tblCellMar>
        <w:top w:w="0" w:type="dxa"/>
        <w:left w:w="108" w:type="dxa"/>
        <w:bottom w:w="0" w:type="dxa"/>
        <w:right w:w="108" w:type="dxa"/>
      </w:tblCellMar>
    </w:tblPr>
  </w:style>
  <w:style w:type="paragraph" w:customStyle="1" w:styleId="2">
    <w:name w:val="四级条标题"/>
    <w:basedOn w:val="3"/>
    <w:next w:val="7"/>
    <w:qFormat/>
    <w:uiPriority w:val="0"/>
    <w:pPr>
      <w:outlineLvl w:val="5"/>
    </w:pPr>
    <w:rPr>
      <w:szCs w:val="20"/>
    </w:rPr>
  </w:style>
  <w:style w:type="paragraph" w:customStyle="1" w:styleId="3">
    <w:name w:val="三级条标题"/>
    <w:basedOn w:val="4"/>
    <w:next w:val="7"/>
    <w:qFormat/>
    <w:uiPriority w:val="0"/>
    <w:pPr>
      <w:outlineLvl w:val="4"/>
    </w:pPr>
  </w:style>
  <w:style w:type="paragraph" w:customStyle="1" w:styleId="4">
    <w:name w:val="二级条标题"/>
    <w:basedOn w:val="5"/>
    <w:next w:val="7"/>
    <w:qFormat/>
    <w:uiPriority w:val="0"/>
    <w:pPr>
      <w:ind w:left="0"/>
      <w:outlineLvl w:val="3"/>
    </w:pPr>
  </w:style>
  <w:style w:type="paragraph" w:customStyle="1" w:styleId="5">
    <w:name w:val="一级条标题"/>
    <w:basedOn w:val="6"/>
    <w:next w:val="7"/>
    <w:qFormat/>
    <w:uiPriority w:val="0"/>
    <w:pPr>
      <w:spacing w:beforeLines="0" w:afterLines="0"/>
      <w:ind w:left="426"/>
      <w:outlineLvl w:val="2"/>
    </w:pPr>
  </w:style>
  <w:style w:type="paragraph" w:customStyle="1" w:styleId="6">
    <w:name w:val="章标题"/>
    <w:next w:val="7"/>
    <w:qFormat/>
    <w:uiPriority w:val="0"/>
    <w:pPr>
      <w:spacing w:beforeLines="50" w:afterLines="50"/>
      <w:jc w:val="both"/>
      <w:outlineLvl w:val="1"/>
    </w:pPr>
    <w:rPr>
      <w:rFonts w:ascii="黑体" w:hAnsi="Times New Roman" w:eastAsia="黑体" w:cs="Times New Roman"/>
      <w:sz w:val="21"/>
      <w:szCs w:val="22"/>
      <w:lang w:val="en-US" w:eastAsia="zh-CN" w:bidi="ar-SA"/>
    </w:rPr>
  </w:style>
  <w:style w:type="paragraph" w:customStyle="1" w:styleId="7">
    <w:name w:val="段"/>
    <w:qFormat/>
    <w:uiPriority w:val="0"/>
    <w:pPr>
      <w:autoSpaceDE w:val="0"/>
      <w:autoSpaceDN w:val="0"/>
      <w:ind w:firstLine="200" w:firstLineChars="200"/>
      <w:jc w:val="both"/>
    </w:pPr>
    <w:rPr>
      <w:rFonts w:ascii="宋体" w:hAnsi="Times New Roman" w:eastAsia="宋体" w:cs="Times New Roman"/>
      <w:sz w:val="21"/>
      <w:szCs w:val="22"/>
      <w:lang w:val="zh-CN" w:eastAsia="zh-CN" w:bidi="ar-SA"/>
    </w:rPr>
  </w:style>
  <w:style w:type="paragraph" w:styleId="12">
    <w:name w:val="Document Map"/>
    <w:basedOn w:val="1"/>
    <w:unhideWhenUsed/>
    <w:qFormat/>
    <w:uiPriority w:val="99"/>
    <w:rPr>
      <w:rFonts w:ascii="宋体" w:eastAsia="宋体"/>
      <w:sz w:val="18"/>
      <w:szCs w:val="18"/>
    </w:rPr>
  </w:style>
  <w:style w:type="paragraph" w:styleId="13">
    <w:name w:val="annotation text"/>
    <w:basedOn w:val="1"/>
    <w:unhideWhenUsed/>
    <w:qFormat/>
    <w:uiPriority w:val="99"/>
    <w:pPr>
      <w:jc w:val="left"/>
    </w:pPr>
  </w:style>
  <w:style w:type="paragraph" w:styleId="14">
    <w:name w:val="Body Text"/>
    <w:basedOn w:val="1"/>
    <w:next w:val="1"/>
    <w:qFormat/>
    <w:uiPriority w:val="0"/>
    <w:pPr>
      <w:spacing w:after="120"/>
    </w:pPr>
    <w:rPr>
      <w:sz w:val="28"/>
    </w:rPr>
  </w:style>
  <w:style w:type="paragraph" w:styleId="15">
    <w:name w:val="toc 3"/>
    <w:basedOn w:val="1"/>
    <w:next w:val="1"/>
    <w:unhideWhenUsed/>
    <w:qFormat/>
    <w:uiPriority w:val="39"/>
    <w:pPr>
      <w:ind w:left="840" w:leftChars="400"/>
    </w:pPr>
  </w:style>
  <w:style w:type="paragraph" w:styleId="16">
    <w:name w:val="Plain Text"/>
    <w:basedOn w:val="1"/>
    <w:next w:val="1"/>
    <w:qFormat/>
    <w:uiPriority w:val="99"/>
    <w:pPr>
      <w:spacing w:line="360" w:lineRule="auto"/>
      <w:ind w:firstLine="200" w:firstLineChars="200"/>
    </w:pPr>
    <w:rPr>
      <w:rFonts w:ascii="宋体" w:hAnsi="Courier New"/>
      <w:sz w:val="28"/>
      <w:szCs w:val="20"/>
    </w:rPr>
  </w:style>
  <w:style w:type="paragraph" w:styleId="17">
    <w:name w:val="footer"/>
    <w:basedOn w:val="1"/>
    <w:next w:val="1"/>
    <w:qFormat/>
    <w:uiPriority w:val="0"/>
    <w:pPr>
      <w:tabs>
        <w:tab w:val="center" w:pos="4153"/>
        <w:tab w:val="right" w:pos="8306"/>
      </w:tabs>
      <w:snapToGrid w:val="0"/>
      <w:jc w:val="left"/>
    </w:pPr>
    <w:rPr>
      <w:rFonts w:ascii="Times New Roman" w:hAnsi="Times New Roman" w:eastAsia="宋体" w:cs="Times New Roman"/>
      <w:sz w:val="18"/>
      <w:szCs w:val="18"/>
    </w:rPr>
  </w:style>
  <w:style w:type="paragraph" w:styleId="18">
    <w:name w:val="header"/>
    <w:basedOn w:val="1"/>
    <w:qFormat/>
    <w:uiPriority w:val="0"/>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paragraph" w:styleId="19">
    <w:name w:val="toc 1"/>
    <w:basedOn w:val="1"/>
    <w:next w:val="1"/>
    <w:qFormat/>
    <w:uiPriority w:val="39"/>
    <w:pPr>
      <w:tabs>
        <w:tab w:val="right" w:leader="dot" w:pos="8296"/>
      </w:tabs>
      <w:spacing w:before="120" w:after="120"/>
      <w:jc w:val="center"/>
    </w:pPr>
    <w:rPr>
      <w:rFonts w:ascii="Times New Roman" w:hAnsi="Times New Roman" w:eastAsia="宋体" w:cs="Times New Roman"/>
      <w:b/>
      <w:bCs/>
      <w:caps/>
      <w:sz w:val="20"/>
      <w:szCs w:val="20"/>
    </w:rPr>
  </w:style>
  <w:style w:type="paragraph" w:styleId="20">
    <w:name w:val="toc 2"/>
    <w:basedOn w:val="1"/>
    <w:next w:val="1"/>
    <w:unhideWhenUsed/>
    <w:qFormat/>
    <w:uiPriority w:val="39"/>
    <w:pPr>
      <w:ind w:left="420" w:leftChars="200"/>
    </w:pPr>
  </w:style>
  <w:style w:type="paragraph" w:styleId="21">
    <w:name w:val="Normal (Web)"/>
    <w:basedOn w:val="1"/>
    <w:qFormat/>
    <w:uiPriority w:val="0"/>
    <w:pPr>
      <w:spacing w:before="0" w:beforeAutospacing="1" w:after="0" w:afterAutospacing="1"/>
      <w:ind w:left="0" w:right="0"/>
      <w:jc w:val="left"/>
    </w:pPr>
    <w:rPr>
      <w:kern w:val="0"/>
      <w:sz w:val="24"/>
      <w:lang w:val="en-US" w:eastAsia="zh-CN" w:bidi="ar"/>
    </w:rPr>
  </w:style>
  <w:style w:type="paragraph" w:styleId="22">
    <w:name w:val="Body Text First Indent"/>
    <w:basedOn w:val="1"/>
    <w:next w:val="1"/>
    <w:qFormat/>
    <w:uiPriority w:val="0"/>
    <w:pPr>
      <w:ind w:firstLine="420" w:firstLineChars="100"/>
    </w:pPr>
  </w:style>
  <w:style w:type="table" w:styleId="24">
    <w:name w:val="Table Grid"/>
    <w:basedOn w:val="23"/>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26">
    <w:name w:val="Strong"/>
    <w:basedOn w:val="25"/>
    <w:qFormat/>
    <w:uiPriority w:val="0"/>
    <w:rPr>
      <w:b/>
    </w:rPr>
  </w:style>
  <w:style w:type="character" w:styleId="27">
    <w:name w:val="page number"/>
    <w:basedOn w:val="25"/>
    <w:qFormat/>
    <w:uiPriority w:val="0"/>
  </w:style>
  <w:style w:type="character" w:styleId="28">
    <w:name w:val="Hyperlink"/>
    <w:basedOn w:val="25"/>
    <w:qFormat/>
    <w:uiPriority w:val="0"/>
    <w:rPr>
      <w:color w:val="0000FF"/>
      <w:u w:val="single"/>
    </w:rPr>
  </w:style>
  <w:style w:type="paragraph" w:customStyle="1" w:styleId="29">
    <w:name w:val="样式 样式 样式 小四 首行缩进:  2.25 字符 + 首行缩进:  2.25 字符 + 首行缩进:  2 字符"/>
    <w:basedOn w:val="30"/>
    <w:qFormat/>
    <w:uiPriority w:val="99"/>
  </w:style>
  <w:style w:type="paragraph" w:customStyle="1" w:styleId="30">
    <w:name w:val="样式 样式 小四 首行缩进:  2.25 字符 + 首行缩进:  2.25 字符"/>
    <w:basedOn w:val="31"/>
    <w:qFormat/>
    <w:uiPriority w:val="99"/>
  </w:style>
  <w:style w:type="paragraph" w:customStyle="1" w:styleId="31">
    <w:name w:val="样式 小四 首行缩进:  2.25 字符"/>
    <w:basedOn w:val="1"/>
    <w:qFormat/>
    <w:uiPriority w:val="99"/>
    <w:pPr>
      <w:spacing w:line="440" w:lineRule="exact"/>
    </w:pPr>
    <w:rPr>
      <w:szCs w:val="20"/>
    </w:rPr>
  </w:style>
  <w:style w:type="paragraph" w:customStyle="1" w:styleId="32">
    <w:name w:val="文本正文"/>
    <w:basedOn w:val="1"/>
    <w:qFormat/>
    <w:uiPriority w:val="0"/>
    <w:pPr>
      <w:snapToGrid w:val="0"/>
      <w:spacing w:line="360" w:lineRule="auto"/>
      <w:ind w:firstLine="510"/>
      <w:jc w:val="left"/>
    </w:pPr>
    <w:rPr>
      <w:spacing w:val="4"/>
      <w:kern w:val="24"/>
      <w:szCs w:val="24"/>
      <w:lang w:val="zh-CN"/>
    </w:rPr>
  </w:style>
  <w:style w:type="paragraph" w:customStyle="1" w:styleId="33">
    <w:name w:val="Default"/>
    <w:qFormat/>
    <w:uiPriority w:val="99"/>
    <w:pPr>
      <w:widowControl w:val="0"/>
      <w:autoSpaceDE w:val="0"/>
      <w:autoSpaceDN w:val="0"/>
      <w:adjustRightInd w:val="0"/>
    </w:pPr>
    <w:rPr>
      <w:rFonts w:ascii="宋体-方正超大字符集" w:hAnsi="Times New Roman" w:eastAsia="宋体-方正超大字符集" w:cs="宋体-方正超大字符集"/>
      <w:color w:val="000000"/>
      <w:sz w:val="24"/>
      <w:szCs w:val="24"/>
      <w:lang w:val="en-US" w:eastAsia="zh-CN" w:bidi="ar-SA"/>
    </w:rPr>
  </w:style>
  <w:style w:type="paragraph" w:customStyle="1" w:styleId="34">
    <w:name w:val="明显引用1"/>
    <w:next w:val="1"/>
    <w:qFormat/>
    <w:uiPriority w:val="0"/>
    <w:pPr>
      <w:wordWrap w:val="0"/>
      <w:spacing w:before="360" w:after="360"/>
      <w:ind w:left="950" w:right="950"/>
      <w:jc w:val="center"/>
    </w:pPr>
    <w:rPr>
      <w:rFonts w:ascii="Times New Roman" w:hAnsi="Times New Roman" w:eastAsia="宋体" w:cs="Times New Roman"/>
      <w:i/>
      <w:sz w:val="21"/>
      <w:lang w:val="en-US" w:eastAsia="zh-CN" w:bidi="ar-SA"/>
    </w:rPr>
  </w:style>
  <w:style w:type="paragraph" w:customStyle="1" w:styleId="35">
    <w:name w:val="报告正文-连续目录"/>
    <w:basedOn w:val="1"/>
    <w:qFormat/>
    <w:uiPriority w:val="0"/>
    <w:pPr>
      <w:spacing w:line="440" w:lineRule="exact"/>
      <w:ind w:firstLine="200" w:firstLineChars="200"/>
    </w:pPr>
    <w:rPr>
      <w:rFonts w:ascii="Arial" w:hAnsi="Arial" w:eastAsia="宋体" w:cs="Times New Roman"/>
      <w:snapToGrid w:val="0"/>
      <w:kern w:val="0"/>
      <w:sz w:val="24"/>
      <w:szCs w:val="24"/>
    </w:rPr>
  </w:style>
  <w:style w:type="paragraph" w:customStyle="1" w:styleId="36">
    <w:name w:val="应急预案正文"/>
    <w:basedOn w:val="1"/>
    <w:qFormat/>
    <w:uiPriority w:val="0"/>
    <w:pPr>
      <w:autoSpaceDE/>
      <w:autoSpaceDN/>
      <w:spacing w:line="480" w:lineRule="exact"/>
      <w:ind w:firstLine="1044" w:firstLineChars="200"/>
    </w:pPr>
    <w:rPr>
      <w:rFonts w:ascii="Times New Roman" w:hAnsi="Times New Roman" w:cs="Times New Roman"/>
      <w:kern w:val="2"/>
      <w:sz w:val="26"/>
      <w:szCs w:val="26"/>
      <w:lang w:eastAsia="zh-CN"/>
    </w:rPr>
  </w:style>
  <w:style w:type="paragraph" w:customStyle="1" w:styleId="37">
    <w:name w:val="样式 标题 1 + 四号 段前: 0 磅 段后: 0 磅 行距: 1.5 倍行距"/>
    <w:basedOn w:val="38"/>
    <w:next w:val="32"/>
    <w:qFormat/>
    <w:uiPriority w:val="0"/>
    <w:pPr>
      <w:spacing w:line="360" w:lineRule="auto"/>
      <w:jc w:val="center"/>
    </w:pPr>
  </w:style>
  <w:style w:type="paragraph" w:customStyle="1" w:styleId="38">
    <w:name w:val="报告表正文"/>
    <w:next w:val="39"/>
    <w:qFormat/>
    <w:uiPriority w:val="0"/>
    <w:pPr>
      <w:spacing w:before="40" w:line="360" w:lineRule="auto"/>
      <w:ind w:firstLine="482" w:firstLineChars="200"/>
      <w:jc w:val="center"/>
    </w:pPr>
    <w:rPr>
      <w:rFonts w:ascii="宋体" w:hAnsi="宋体" w:eastAsia="宋体" w:cs="Arial"/>
      <w:b/>
      <w:kern w:val="10"/>
      <w:sz w:val="24"/>
      <w:szCs w:val="21"/>
      <w:lang w:val="en-US" w:eastAsia="zh-CN" w:bidi="ar-SA"/>
    </w:rPr>
  </w:style>
  <w:style w:type="paragraph" w:customStyle="1" w:styleId="39">
    <w:name w:val="报告表正文（首行缩进）"/>
    <w:basedOn w:val="38"/>
    <w:qFormat/>
    <w:uiPriority w:val="0"/>
    <w:pPr>
      <w:spacing w:line="360" w:lineRule="auto"/>
      <w:ind w:left="0" w:right="0" w:firstLine="562" w:firstLineChars="200"/>
    </w:pPr>
    <w:rPr>
      <w:b w:val="0"/>
    </w:rPr>
  </w:style>
  <w:style w:type="paragraph" w:customStyle="1" w:styleId="40">
    <w:name w:val="正文（风险评估）"/>
    <w:basedOn w:val="1"/>
    <w:qFormat/>
    <w:uiPriority w:val="0"/>
    <w:pPr>
      <w:spacing w:line="360" w:lineRule="auto"/>
      <w:ind w:firstLine="420" w:firstLineChars="200"/>
    </w:pPr>
    <w:rPr>
      <w:rFonts w:ascii="Times New Roman" w:hAnsi="Times New Roman" w:eastAsia="宋体"/>
      <w:sz w:val="24"/>
    </w:rPr>
  </w:style>
  <w:style w:type="paragraph" w:customStyle="1" w:styleId="41">
    <w:name w:val="表标题"/>
    <w:basedOn w:val="1"/>
    <w:qFormat/>
    <w:uiPriority w:val="0"/>
    <w:pPr>
      <w:ind w:firstLine="0" w:firstLineChars="0"/>
      <w:jc w:val="center"/>
    </w:pPr>
    <w:rPr>
      <w:rFonts w:cs="宋体"/>
      <w:b/>
      <w:szCs w:val="20"/>
    </w:rPr>
  </w:style>
  <w:style w:type="paragraph" w:customStyle="1" w:styleId="42">
    <w:name w:val="Table Paragraph"/>
    <w:basedOn w:val="1"/>
    <w:qFormat/>
    <w:uiPriority w:val="1"/>
    <w:pPr>
      <w:jc w:val="left"/>
    </w:pPr>
    <w:rPr>
      <w:rFonts w:ascii="Times New Roman" w:hAnsi="Times New Roman" w:cs="Times New Roman"/>
      <w:kern w:val="0"/>
      <w:sz w:val="22"/>
      <w:lang w:eastAsia="en-US"/>
    </w:rPr>
  </w:style>
  <w:style w:type="paragraph" w:customStyle="1" w:styleId="43">
    <w:name w:val="应急预案表格"/>
    <w:basedOn w:val="44"/>
    <w:qFormat/>
    <w:uiPriority w:val="0"/>
    <w:pPr>
      <w:spacing w:line="320" w:lineRule="exact"/>
      <w:ind w:firstLine="0" w:firstLineChars="0"/>
    </w:pPr>
    <w:rPr>
      <w:b w:val="0"/>
      <w:sz w:val="22"/>
      <w:szCs w:val="22"/>
    </w:rPr>
  </w:style>
  <w:style w:type="paragraph" w:customStyle="1" w:styleId="44">
    <w:name w:val="应急预案表格标题"/>
    <w:basedOn w:val="36"/>
    <w:qFormat/>
    <w:uiPriority w:val="0"/>
    <w:pPr>
      <w:jc w:val="center"/>
    </w:pPr>
    <w:rPr>
      <w:b/>
      <w:sz w:val="21"/>
      <w:szCs w:val="10"/>
    </w:rPr>
  </w:style>
  <w:style w:type="character" w:customStyle="1" w:styleId="45">
    <w:name w:val="标题 1 Char"/>
    <w:basedOn w:val="25"/>
    <w:link w:val="8"/>
    <w:qFormat/>
    <w:uiPriority w:val="9"/>
    <w:rPr>
      <w:rFonts w:ascii="Cambria" w:hAnsi="Cambria" w:eastAsia="宋体" w:cs="Times New Roman"/>
      <w:b/>
      <w:bCs/>
      <w:kern w:val="32"/>
      <w:sz w:val="32"/>
      <w:szCs w:val="32"/>
      <w:lang w:eastAsia="en-US" w:bidi="en-US"/>
    </w:rPr>
  </w:style>
  <w:style w:type="paragraph" w:customStyle="1" w:styleId="46">
    <w:name w:val="表图标题"/>
    <w:basedOn w:val="1"/>
    <w:next w:val="39"/>
    <w:qFormat/>
    <w:uiPriority w:val="0"/>
    <w:pPr>
      <w:spacing w:line="360" w:lineRule="auto"/>
      <w:jc w:val="center"/>
    </w:pPr>
    <w:rPr>
      <w:rFonts w:ascii="Times New Roman" w:hAnsi="Times New Roman" w:eastAsia="黑体"/>
      <w:b/>
      <w:bCs/>
      <w:kern w:val="0"/>
      <w:sz w:val="24"/>
      <w:szCs w:val="24"/>
    </w:rPr>
  </w:style>
  <w:style w:type="paragraph" w:customStyle="1" w:styleId="47">
    <w:name w:val="表字居中"/>
    <w:basedOn w:val="1"/>
    <w:qFormat/>
    <w:uiPriority w:val="0"/>
    <w:pPr>
      <w:tabs>
        <w:tab w:val="left" w:pos="1155"/>
      </w:tabs>
      <w:ind w:firstLine="0" w:firstLineChars="0"/>
      <w:jc w:val="center"/>
    </w:pPr>
    <w:rPr>
      <w:kern w:val="0"/>
      <w:sz w:val="21"/>
      <w:szCs w:val="24"/>
    </w:rPr>
  </w:style>
  <w:style w:type="paragraph" w:customStyle="1" w:styleId="48">
    <w:name w:val="表内文字"/>
    <w:basedOn w:val="1"/>
    <w:next w:val="1"/>
    <w:qFormat/>
    <w:uiPriority w:val="0"/>
    <w:pPr>
      <w:widowControl/>
      <w:spacing w:line="320" w:lineRule="exact"/>
      <w:ind w:firstLine="0" w:firstLineChars="0"/>
      <w:jc w:val="center"/>
    </w:pPr>
    <w:rPr>
      <w:kern w:val="0"/>
      <w:sz w:val="22"/>
      <w:szCs w:val="22"/>
    </w:rPr>
  </w:style>
  <w:style w:type="paragraph" w:customStyle="1" w:styleId="49">
    <w:name w:val="表格"/>
    <w:basedOn w:val="50"/>
    <w:next w:val="1"/>
    <w:qFormat/>
    <w:uiPriority w:val="0"/>
    <w:pPr>
      <w:jc w:val="center"/>
    </w:pPr>
    <w:rPr>
      <w:rFonts w:eastAsia="仿宋_GB2312"/>
      <w:szCs w:val="20"/>
    </w:rPr>
  </w:style>
  <w:style w:type="paragraph" w:customStyle="1" w:styleId="50">
    <w:name w:val="表头"/>
    <w:basedOn w:val="51"/>
    <w:next w:val="1"/>
    <w:qFormat/>
    <w:uiPriority w:val="0"/>
    <w:pPr>
      <w:jc w:val="center"/>
    </w:pPr>
    <w:rPr>
      <w:rFonts w:eastAsia="仿宋_GB2312"/>
      <w:sz w:val="28"/>
      <w:szCs w:val="20"/>
    </w:rPr>
  </w:style>
  <w:style w:type="paragraph" w:customStyle="1" w:styleId="51">
    <w:name w:val="正文内容"/>
    <w:basedOn w:val="52"/>
    <w:qFormat/>
    <w:uiPriority w:val="0"/>
    <w:pPr>
      <w:adjustRightInd w:val="0"/>
      <w:snapToGrid w:val="0"/>
      <w:spacing w:line="360" w:lineRule="auto"/>
      <w:ind w:firstLine="480" w:firstLineChars="200"/>
    </w:pPr>
    <w:rPr>
      <w:sz w:val="24"/>
    </w:rPr>
  </w:style>
  <w:style w:type="paragraph" w:customStyle="1" w:styleId="52">
    <w:name w:val="三级标题"/>
    <w:basedOn w:val="53"/>
    <w:qFormat/>
    <w:uiPriority w:val="0"/>
    <w:rPr>
      <w:b/>
      <w:sz w:val="26"/>
      <w:szCs w:val="26"/>
    </w:rPr>
  </w:style>
  <w:style w:type="paragraph" w:customStyle="1" w:styleId="53">
    <w:name w:val="二级标题"/>
    <w:basedOn w:val="54"/>
    <w:qFormat/>
    <w:uiPriority w:val="0"/>
    <w:pPr>
      <w:outlineLvl w:val="1"/>
    </w:pPr>
    <w:rPr>
      <w:rFonts w:ascii="宋体" w:hAnsi="宋体"/>
      <w:b w:val="0"/>
      <w:sz w:val="28"/>
      <w:szCs w:val="28"/>
    </w:rPr>
  </w:style>
  <w:style w:type="paragraph" w:customStyle="1" w:styleId="54">
    <w:name w:val="一级标题"/>
    <w:basedOn w:val="1"/>
    <w:qFormat/>
    <w:uiPriority w:val="0"/>
    <w:pPr>
      <w:widowControl/>
      <w:ind w:firstLine="0" w:firstLineChars="0"/>
      <w:jc w:val="left"/>
    </w:pPr>
    <w:rPr>
      <w:b/>
      <w:bCs/>
      <w:kern w:val="0"/>
    </w:rPr>
  </w:style>
  <w:style w:type="paragraph" w:customStyle="1" w:styleId="55">
    <w:name w:val="表格内容"/>
    <w:basedOn w:val="1"/>
    <w:qFormat/>
    <w:uiPriority w:val="0"/>
    <w:pPr>
      <w:jc w:val="center"/>
    </w:pPr>
    <w:rPr>
      <w:kern w:val="0"/>
      <w:sz w:val="20"/>
    </w:rPr>
  </w:style>
  <w:style w:type="paragraph" w:customStyle="1" w:styleId="56">
    <w:name w:val="标题2（风险）"/>
    <w:basedOn w:val="8"/>
    <w:qFormat/>
    <w:uiPriority w:val="0"/>
    <w:pPr>
      <w:spacing w:after="120" w:line="360" w:lineRule="auto"/>
    </w:pPr>
    <w:rPr>
      <w:sz w:val="24"/>
    </w:rPr>
  </w:style>
  <w:style w:type="paragraph" w:customStyle="1" w:styleId="57">
    <w:name w:val="标题3（风险）"/>
    <w:basedOn w:val="10"/>
    <w:qFormat/>
    <w:uiPriority w:val="0"/>
    <w:pPr>
      <w:spacing w:line="240" w:lineRule="auto"/>
    </w:pPr>
    <w:rPr>
      <w:rFonts w:ascii="Times New Roman" w:hAnsi="Times New Roman" w:eastAsia="宋体"/>
      <w:sz w:val="24"/>
    </w:rPr>
  </w:style>
  <w:style w:type="paragraph" w:customStyle="1" w:styleId="58">
    <w:name w:val="标题1（风险）"/>
    <w:basedOn w:val="8"/>
    <w:qFormat/>
    <w:uiPriority w:val="0"/>
    <w:pPr>
      <w:spacing w:after="120" w:line="360" w:lineRule="auto"/>
      <w:jc w:val="left"/>
    </w:pPr>
    <w:rPr>
      <w:sz w:val="30"/>
    </w:rPr>
  </w:style>
  <w:style w:type="character" w:customStyle="1" w:styleId="59">
    <w:name w:val="font01"/>
    <w:basedOn w:val="25"/>
    <w:qFormat/>
    <w:uiPriority w:val="0"/>
    <w:rPr>
      <w:rFonts w:hint="eastAsia" w:ascii="宋体" w:hAnsi="宋体" w:eastAsia="宋体" w:cs="宋体"/>
      <w:color w:val="000000"/>
      <w:sz w:val="18"/>
      <w:szCs w:val="18"/>
      <w:u w:val="none"/>
    </w:rPr>
  </w:style>
  <w:style w:type="paragraph" w:customStyle="1" w:styleId="60">
    <w:name w:val="p0"/>
    <w:basedOn w:val="1"/>
    <w:qFormat/>
    <w:uiPriority w:val="0"/>
    <w:pPr>
      <w:widowControl/>
    </w:pPr>
    <w:rPr>
      <w:rFonts w:eastAsia="Arial Unicode MS"/>
      <w:kern w:val="0"/>
      <w:szCs w:val="21"/>
    </w:rPr>
  </w:style>
  <w:style w:type="character" w:customStyle="1" w:styleId="61">
    <w:name w:val="标题 4 Char"/>
    <w:link w:val="11"/>
    <w:qFormat/>
    <w:uiPriority w:val="0"/>
    <w:rPr>
      <w:rFonts w:ascii="Arial" w:hAnsi="Arial"/>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4.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numbering" Target="numbering.xml"/><Relationship Id="rId27" Type="http://schemas.openxmlformats.org/officeDocument/2006/relationships/customXml" Target="../customXml/item1.xml"/><Relationship Id="rId26" Type="http://schemas.openxmlformats.org/officeDocument/2006/relationships/image" Target="media/image14.png"/><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jpe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wmf"/><Relationship Id="rId15" Type="http://schemas.openxmlformats.org/officeDocument/2006/relationships/oleObject" Target="embeddings/oleObject2.bin"/><Relationship Id="rId14" Type="http://schemas.openxmlformats.org/officeDocument/2006/relationships/image" Target="media/image3.png"/><Relationship Id="rId13" Type="http://schemas.openxmlformats.org/officeDocument/2006/relationships/image" Target="media/image2.emf"/><Relationship Id="rId12" Type="http://schemas.openxmlformats.org/officeDocument/2006/relationships/oleObject" Target="embeddings/oleObject1.bin"/><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43</Pages>
  <Words>3454</Words>
  <Characters>4037</Characters>
  <Lines>0</Lines>
  <Paragraphs>0</Paragraphs>
  <TotalTime>0</TotalTime>
  <ScaleCrop>false</ScaleCrop>
  <LinksUpToDate>false</LinksUpToDate>
  <CharactersWithSpaces>4122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2023-03-20T03:11:00Z</dcterms:created>
  <dc:creator>Administrator</dc:creator>
  <cp:lastModifiedBy>Eric</cp:lastModifiedBy>
  <dcterms:modified xsi:type="dcterms:W3CDTF">2025-03-14T08:03:57Z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8941B536C7F3477FB4FA7C5E500F4CCD</vt:lpwstr>
  </property>
  <property fmtid="{D5CDD505-2E9C-101B-9397-08002B2CF9AE}" pid="4" name="KSOTemplateDocerSaveRecord">
    <vt:lpwstr>eyJoZGlkIjoiZmQ5ZDBiYmQ3NGRkMDVkODRlYmQzNGEwNjNmOTY2NjgiLCJ1c2VySWQiOiIxMjg2NjAzMzUyIn0=</vt:lpwstr>
  </property>
</Properties>
</file>